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40" w:lineRule="exact"/>
        <w:rPr>
          <w:rFonts w:hint="eastAsia" w:ascii="仿宋_GB2312" w:hAnsi="仿宋_GB2312" w:cs="宋体"/>
          <w:szCs w:val="21"/>
        </w:rPr>
      </w:pPr>
      <w:r>
        <w:rPr>
          <w:rFonts w:hint="eastAsia" w:ascii="仿宋_GB2312" w:hAnsi="仿宋_GB2312" w:cs="宋体"/>
          <w:szCs w:val="21"/>
        </w:rPr>
        <w:t xml:space="preserve">附件1 </w:t>
      </w:r>
    </w:p>
    <w:p>
      <w:pPr>
        <w:spacing w:line="540" w:lineRule="exact"/>
        <w:jc w:val="center"/>
        <w:rPr>
          <w:rFonts w:hint="eastAsia" w:ascii="创艺简标宋" w:hAnsi="创艺简标宋" w:eastAsia="创艺简标宋" w:cs="宋体"/>
          <w:b/>
          <w:bCs/>
          <w:sz w:val="44"/>
          <w:szCs w:val="21"/>
        </w:rPr>
      </w:pPr>
    </w:p>
    <w:p>
      <w:pPr>
        <w:spacing w:line="560" w:lineRule="exact"/>
        <w:jc w:val="center"/>
        <w:rPr>
          <w:rFonts w:hint="eastAsia" w:ascii="创艺简" w:hAnsi="微软雅黑" w:eastAsia="创艺简" w:cs="微软雅黑"/>
          <w:sz w:val="44"/>
          <w:szCs w:val="44"/>
        </w:rPr>
      </w:pPr>
      <w:bookmarkStart w:id="0" w:name="_GoBack"/>
      <w:r>
        <w:rPr>
          <w:rFonts w:hint="eastAsia" w:ascii="创艺简" w:hAnsi="微软雅黑" w:eastAsia="创艺简" w:cs="微软雅黑"/>
          <w:sz w:val="44"/>
          <w:szCs w:val="44"/>
        </w:rPr>
        <w:t>行业（省级中心）高分卫星应用年度报告</w:t>
      </w:r>
    </w:p>
    <w:p>
      <w:pPr>
        <w:spacing w:line="560" w:lineRule="exact"/>
        <w:jc w:val="center"/>
        <w:rPr>
          <w:rFonts w:hint="eastAsia" w:ascii="创艺简" w:hAnsi="微软雅黑" w:eastAsia="创艺简" w:cs="微软雅黑"/>
          <w:sz w:val="44"/>
          <w:szCs w:val="44"/>
        </w:rPr>
      </w:pPr>
      <w:r>
        <w:rPr>
          <w:rFonts w:hint="eastAsia" w:ascii="创艺简" w:hAnsi="微软雅黑" w:eastAsia="创艺简" w:cs="微软雅黑"/>
          <w:sz w:val="44"/>
          <w:szCs w:val="44"/>
        </w:rPr>
        <w:t>提纲及内容要求</w:t>
      </w:r>
    </w:p>
    <w:bookmarkEnd w:id="0"/>
    <w:p>
      <w:pPr>
        <w:spacing w:line="540" w:lineRule="exact"/>
        <w:rPr>
          <w:rFonts w:hint="eastAsia" w:ascii="宋体" w:hAnsi="宋体" w:eastAsia="宋体" w:cs="宋体"/>
          <w:sz w:val="21"/>
          <w:szCs w:val="21"/>
        </w:rPr>
      </w:pPr>
      <w:r>
        <w:rPr>
          <w:rFonts w:hint="eastAsia" w:ascii="宋体" w:hAnsi="宋体" w:eastAsia="宋体" w:cs="宋体"/>
          <w:sz w:val="21"/>
          <w:szCs w:val="21"/>
        </w:rPr>
        <w:t>注：不局限于2018年，截至目前实现的成果都可以写入报告。</w:t>
      </w:r>
    </w:p>
    <w:p>
      <w:pPr>
        <w:pStyle w:val="2"/>
      </w:pPr>
      <w:r>
        <w:rPr>
          <w:rFonts w:hint="eastAsia"/>
        </w:rPr>
        <w:t>应用概述</w:t>
      </w:r>
    </w:p>
    <w:p>
      <w:pPr>
        <w:spacing w:line="600" w:lineRule="exact"/>
        <w:ind w:firstLine="640" w:firstLineChars="200"/>
        <w:jc w:val="left"/>
        <w:rPr>
          <w:rFonts w:ascii="仿宋_GB2312" w:hAnsi="仿宋_GB2312" w:cs="仿宋_GB2312"/>
          <w:szCs w:val="32"/>
        </w:rPr>
      </w:pPr>
      <w:r>
        <w:rPr>
          <w:rFonts w:hint="eastAsia" w:ascii="仿宋_GB2312" w:hAnsi="仿宋_GB2312" w:cs="仿宋_GB2312"/>
          <w:szCs w:val="32"/>
        </w:rPr>
        <w:t>3000字左右，包括：</w:t>
      </w:r>
    </w:p>
    <w:p>
      <w:pPr>
        <w:numPr>
          <w:ilvl w:val="0"/>
          <w:numId w:val="5"/>
        </w:numPr>
        <w:spacing w:line="600" w:lineRule="exact"/>
        <w:ind w:firstLine="640" w:firstLineChars="200"/>
        <w:jc w:val="left"/>
        <w:rPr>
          <w:rFonts w:ascii="仿宋_GB2312" w:hAnsi="仿宋_GB2312" w:cs="仿宋_GB2312"/>
          <w:szCs w:val="32"/>
        </w:rPr>
      </w:pPr>
      <w:r>
        <w:rPr>
          <w:rFonts w:hint="eastAsia" w:ascii="仿宋_GB2312" w:hAnsi="仿宋_GB2312" w:cs="仿宋_GB2312"/>
          <w:szCs w:val="32"/>
        </w:rPr>
        <w:t>高分卫星现有应用领域；</w:t>
      </w:r>
    </w:p>
    <w:p>
      <w:pPr>
        <w:numPr>
          <w:ilvl w:val="0"/>
          <w:numId w:val="5"/>
        </w:numPr>
        <w:spacing w:line="600" w:lineRule="exact"/>
        <w:ind w:firstLine="640" w:firstLineChars="200"/>
        <w:jc w:val="left"/>
        <w:rPr>
          <w:rFonts w:ascii="仿宋_GB2312" w:hAnsi="仿宋_GB2312" w:cs="仿宋_GB2312"/>
          <w:szCs w:val="32"/>
        </w:rPr>
      </w:pPr>
      <w:r>
        <w:rPr>
          <w:rFonts w:hint="eastAsia" w:ascii="仿宋_GB2312" w:hAnsi="仿宋_GB2312" w:cs="仿宋_GB2312"/>
          <w:szCs w:val="32"/>
        </w:rPr>
        <w:t>取得的对决策支撑和业务提升的效果、提供服务的情况等；</w:t>
      </w:r>
    </w:p>
    <w:p>
      <w:pPr>
        <w:numPr>
          <w:ilvl w:val="0"/>
          <w:numId w:val="5"/>
        </w:numPr>
        <w:spacing w:line="600" w:lineRule="exact"/>
        <w:ind w:firstLine="640" w:firstLineChars="200"/>
        <w:jc w:val="left"/>
        <w:rPr>
          <w:rFonts w:ascii="仿宋_GB2312" w:hAnsi="仿宋_GB2312" w:cs="仿宋_GB2312"/>
          <w:szCs w:val="32"/>
        </w:rPr>
      </w:pPr>
      <w:r>
        <w:rPr>
          <w:rFonts w:hint="eastAsia" w:ascii="仿宋_GB2312" w:hAnsi="仿宋_GB2312" w:cs="仿宋_GB2312"/>
          <w:szCs w:val="32"/>
        </w:rPr>
        <w:t>服务“一带一路”倡议，京津冀协同发展、长江经济带、乡村振兴等国家战略的情况；</w:t>
      </w:r>
    </w:p>
    <w:p>
      <w:pPr>
        <w:numPr>
          <w:ilvl w:val="0"/>
          <w:numId w:val="5"/>
        </w:numPr>
        <w:spacing w:line="600" w:lineRule="exact"/>
        <w:ind w:firstLine="640" w:firstLineChars="200"/>
        <w:jc w:val="left"/>
        <w:rPr>
          <w:rFonts w:ascii="仿宋_GB2312" w:hAnsi="仿宋_GB2312" w:cs="仿宋_GB2312"/>
          <w:szCs w:val="32"/>
        </w:rPr>
      </w:pPr>
      <w:r>
        <w:rPr>
          <w:rFonts w:ascii="仿宋_GB2312" w:hAnsi="仿宋_GB2312" w:cs="仿宋_GB2312"/>
          <w:szCs w:val="32"/>
        </w:rPr>
        <w:t>服务</w:t>
      </w:r>
      <w:r>
        <w:rPr>
          <w:rFonts w:hint="eastAsia" w:ascii="仿宋_GB2312" w:hAnsi="仿宋_GB2312" w:cs="仿宋_GB2312"/>
          <w:szCs w:val="32"/>
        </w:rPr>
        <w:t>部门履职、政策制定的情况；</w:t>
      </w:r>
    </w:p>
    <w:p>
      <w:pPr>
        <w:numPr>
          <w:ilvl w:val="0"/>
          <w:numId w:val="5"/>
        </w:numPr>
        <w:spacing w:line="600" w:lineRule="exact"/>
        <w:ind w:firstLine="640" w:firstLineChars="200"/>
        <w:jc w:val="left"/>
        <w:rPr>
          <w:rFonts w:ascii="仿宋_GB2312" w:hAnsi="仿宋_GB2312" w:cs="仿宋_GB2312"/>
          <w:szCs w:val="32"/>
        </w:rPr>
      </w:pPr>
      <w:r>
        <w:rPr>
          <w:rFonts w:hint="eastAsia" w:ascii="仿宋_GB2312" w:hAnsi="仿宋_GB2312" w:cs="仿宋_GB2312"/>
          <w:szCs w:val="32"/>
        </w:rPr>
        <w:t>服务国际合作的情况；</w:t>
      </w:r>
    </w:p>
    <w:p>
      <w:pPr>
        <w:numPr>
          <w:ilvl w:val="0"/>
          <w:numId w:val="5"/>
        </w:numPr>
        <w:spacing w:line="600" w:lineRule="exact"/>
        <w:ind w:firstLine="640" w:firstLineChars="200"/>
        <w:jc w:val="left"/>
        <w:rPr>
          <w:rFonts w:ascii="仿宋_GB2312" w:hAnsi="仿宋_GB2312" w:cs="仿宋_GB2312"/>
          <w:szCs w:val="32"/>
        </w:rPr>
      </w:pPr>
      <w:r>
        <w:rPr>
          <w:rFonts w:ascii="仿宋_GB2312" w:hAnsi="仿宋_GB2312" w:cs="仿宋_GB2312"/>
          <w:szCs w:val="32"/>
        </w:rPr>
        <w:t>服务军民融合的情况</w:t>
      </w:r>
      <w:r>
        <w:rPr>
          <w:rFonts w:hint="eastAsia" w:ascii="仿宋_GB2312" w:hAnsi="仿宋_GB2312" w:cs="仿宋_GB2312"/>
          <w:szCs w:val="32"/>
        </w:rPr>
        <w:t>；</w:t>
      </w:r>
    </w:p>
    <w:p>
      <w:pPr>
        <w:numPr>
          <w:ilvl w:val="0"/>
          <w:numId w:val="5"/>
        </w:numPr>
        <w:spacing w:line="600" w:lineRule="exact"/>
        <w:ind w:firstLine="640" w:firstLineChars="200"/>
        <w:jc w:val="left"/>
        <w:rPr>
          <w:rFonts w:ascii="仿宋_GB2312" w:hAnsi="仿宋_GB2312" w:cs="仿宋_GB2312"/>
          <w:szCs w:val="32"/>
        </w:rPr>
      </w:pPr>
      <w:r>
        <w:rPr>
          <w:rFonts w:hint="eastAsia" w:ascii="仿宋_GB2312" w:hAnsi="仿宋_GB2312" w:cs="仿宋_GB2312"/>
          <w:szCs w:val="32"/>
        </w:rPr>
        <w:t>科技创新情况，引领行业发展的情况。</w:t>
      </w:r>
    </w:p>
    <w:p>
      <w:pPr>
        <w:spacing w:line="600" w:lineRule="exact"/>
        <w:ind w:left="640"/>
        <w:jc w:val="left"/>
        <w:rPr>
          <w:rFonts w:hint="eastAsia" w:ascii="仿宋_GB2312" w:hAnsi="仿宋_GB2312" w:cs="仿宋_GB2312"/>
          <w:i/>
          <w:szCs w:val="32"/>
        </w:rPr>
      </w:pPr>
    </w:p>
    <w:p>
      <w:pPr>
        <w:pStyle w:val="2"/>
      </w:pPr>
      <w:r>
        <w:rPr>
          <w:rFonts w:hint="eastAsia"/>
        </w:rPr>
        <w:t>高分应用专题产品体系</w:t>
      </w:r>
    </w:p>
    <w:p>
      <w:pPr>
        <w:spacing w:line="600" w:lineRule="exact"/>
        <w:ind w:firstLine="640" w:firstLineChars="200"/>
        <w:jc w:val="left"/>
        <w:rPr>
          <w:rFonts w:ascii="仿宋_GB2312" w:hAnsi="仿宋_GB2312" w:cs="仿宋_GB2312"/>
          <w:szCs w:val="32"/>
        </w:rPr>
      </w:pPr>
      <w:r>
        <w:rPr>
          <w:rFonts w:ascii="仿宋_GB2312" w:hAnsi="仿宋_GB2312" w:cs="仿宋_GB2312"/>
          <w:szCs w:val="32"/>
        </w:rPr>
        <w:t>按照应用领域来对专题产品进行分类</w:t>
      </w:r>
      <w:r>
        <w:rPr>
          <w:rFonts w:hint="eastAsia" w:ascii="仿宋_GB2312" w:hAnsi="仿宋_GB2312" w:cs="仿宋_GB2312"/>
          <w:szCs w:val="32"/>
        </w:rPr>
        <w:t>，</w:t>
      </w:r>
      <w:r>
        <w:rPr>
          <w:rFonts w:ascii="仿宋_GB2312" w:hAnsi="仿宋_GB2312" w:cs="仿宋_GB2312"/>
          <w:szCs w:val="32"/>
        </w:rPr>
        <w:t>可以参考</w:t>
      </w:r>
      <w:r>
        <w:rPr>
          <w:rFonts w:hint="eastAsia" w:ascii="仿宋_GB2312" w:hAnsi="仿宋_GB2312" w:cs="仿宋_GB2312"/>
          <w:szCs w:val="32"/>
        </w:rPr>
        <w:t>图1中的分类体系。该分类中综合的国家级应用领域是根据国家治理能力和相关国家战略部署、以及各行业提供的专题专品所能服务的领域的综合凝练和提升，分列</w:t>
      </w:r>
      <w:r>
        <w:rPr>
          <w:rFonts w:ascii="仿宋_GB2312" w:hAnsi="仿宋_GB2312" w:cs="仿宋_GB2312"/>
          <w:szCs w:val="32"/>
        </w:rPr>
        <w:t>9</w:t>
      </w:r>
      <w:r>
        <w:rPr>
          <w:rFonts w:hint="eastAsia" w:ascii="仿宋_GB2312" w:hAnsi="仿宋_GB2312" w:cs="仿宋_GB2312"/>
          <w:szCs w:val="32"/>
        </w:rPr>
        <w:t>个领域。各单位的专题产品分类可以参考此领域划分方式。</w:t>
      </w:r>
      <w:r>
        <w:rPr>
          <w:rFonts w:ascii="仿宋_GB2312" w:hAnsi="仿宋_GB2312" w:cs="仿宋_GB2312"/>
          <w:szCs w:val="32"/>
        </w:rPr>
        <w:t xml:space="preserve"> </w:t>
      </w:r>
    </w:p>
    <w:p>
      <w:pPr>
        <w:spacing w:line="240" w:lineRule="auto"/>
        <w:jc w:val="center"/>
      </w:pPr>
      <w:r>
        <w:object>
          <v:shape id="_x0000_i1025" o:spt="75" type="#_x0000_t75" style="height:301.55pt;width:415pt;" o:ole="t" filled="f" stroked="f" coordsize="21600,21600">
            <v:path/>
            <v:fill on="f" focussize="0,0"/>
            <v:stroke on="f"/>
            <v:imagedata r:id="rId5" o:title=""/>
            <o:lock v:ext="edit" aspectratio="t"/>
            <w10:wrap type="none"/>
            <w10:anchorlock/>
          </v:shape>
          <o:OLEObject Type="Embed" ProgID="Visio.Drawing.15" ShapeID="_x0000_i1025" DrawAspect="Content" ObjectID="_1468075725" r:id="rId4">
            <o:LockedField>false</o:LockedField>
          </o:OLEObject>
        </w:object>
      </w:r>
      <w:r>
        <w:rPr>
          <w:rFonts w:hint="eastAsia"/>
          <w:b/>
          <w:sz w:val="28"/>
        </w:rPr>
        <w:t>图1</w:t>
      </w:r>
      <w:r>
        <w:rPr>
          <w:b/>
          <w:sz w:val="28"/>
        </w:rPr>
        <w:t xml:space="preserve"> 综合的国家级应用领域设计</w:t>
      </w:r>
    </w:p>
    <w:p>
      <w:pPr>
        <w:spacing w:line="240" w:lineRule="auto"/>
      </w:pPr>
      <w:r>
        <w:rPr>
          <w:rFonts w:hint="eastAsia"/>
        </w:rPr>
        <w:t>行业范例：</w:t>
      </w:r>
    </w:p>
    <w:p>
      <w:pPr>
        <w:spacing w:line="240" w:lineRule="auto"/>
        <w:jc w:val="center"/>
      </w:pPr>
      <w:r>
        <w:object>
          <v:shape id="_x0000_i1026" o:spt="75" type="#_x0000_t75" style="height:633.2pt;width:415.1pt;" o:ole="t" filled="f" stroked="f" coordsize="21600,21600">
            <v:path/>
            <v:fill on="f" focussize="0,0"/>
            <v:stroke on="f"/>
            <v:imagedata r:id="rId7" o:title=""/>
            <o:lock v:ext="edit" aspectratio="t"/>
            <w10:wrap type="none"/>
            <w10:anchorlock/>
          </v:shape>
          <o:OLEObject Type="Embed" ProgID="Visio.Drawing.15" ShapeID="_x0000_i1026" DrawAspect="Content" ObjectID="_1468075726" r:id="rId6">
            <o:LockedField>false</o:LockedField>
          </o:OLEObject>
        </w:object>
      </w:r>
    </w:p>
    <w:p>
      <w:pPr>
        <w:spacing w:line="240" w:lineRule="auto"/>
        <w:jc w:val="center"/>
        <w:rPr>
          <w:b/>
          <w:sz w:val="28"/>
        </w:rPr>
      </w:pPr>
      <w:r>
        <w:rPr>
          <w:rFonts w:hint="eastAsia"/>
          <w:b/>
          <w:sz w:val="28"/>
        </w:rPr>
        <w:t>图</w:t>
      </w:r>
      <w:r>
        <w:rPr>
          <w:b/>
          <w:sz w:val="28"/>
        </w:rPr>
        <w:t xml:space="preserve">2 </w:t>
      </w:r>
      <w:r>
        <w:rPr>
          <w:rFonts w:hint="eastAsia"/>
          <w:b/>
          <w:sz w:val="28"/>
        </w:rPr>
        <w:t>行业范例</w:t>
      </w:r>
    </w:p>
    <w:p>
      <w:pPr>
        <w:spacing w:line="240" w:lineRule="auto"/>
        <w:jc w:val="center"/>
      </w:pPr>
    </w:p>
    <w:p>
      <w:pPr>
        <w:spacing w:line="240" w:lineRule="auto"/>
        <w:jc w:val="center"/>
      </w:pPr>
      <w:r>
        <w:object>
          <v:shape id="_x0000_i1027" o:spt="75" type="#_x0000_t75" style="height:414pt;width:319.55pt;" o:ole="t" filled="f" stroked="f" coordsize="21600,21600">
            <v:path/>
            <v:fill on="f" focussize="0,0"/>
            <v:stroke on="f"/>
            <v:imagedata r:id="rId9" o:title=""/>
            <o:lock v:ext="edit" aspectratio="t"/>
            <w10:wrap type="none"/>
            <w10:anchorlock/>
          </v:shape>
          <o:OLEObject Type="Embed" ProgID="Visio.Drawing.15" ShapeID="_x0000_i1027" DrawAspect="Content" ObjectID="_1468075727" r:id="rId8">
            <o:LockedField>false</o:LockedField>
          </o:OLEObject>
        </w:object>
      </w:r>
    </w:p>
    <w:p>
      <w:pPr>
        <w:spacing w:line="240" w:lineRule="auto"/>
        <w:jc w:val="center"/>
        <w:rPr>
          <w:rFonts w:hint="eastAsia"/>
          <w:b/>
          <w:sz w:val="28"/>
        </w:rPr>
      </w:pPr>
      <w:r>
        <w:rPr>
          <w:rFonts w:hint="eastAsia"/>
          <w:b/>
          <w:sz w:val="28"/>
        </w:rPr>
        <w:t>图3</w:t>
      </w:r>
      <w:r>
        <w:rPr>
          <w:b/>
          <w:sz w:val="28"/>
        </w:rPr>
        <w:t xml:space="preserve">  </w:t>
      </w:r>
      <w:r>
        <w:rPr>
          <w:rFonts w:hint="eastAsia"/>
          <w:b/>
          <w:sz w:val="28"/>
        </w:rPr>
        <w:t>省级中心范例</w:t>
      </w:r>
    </w:p>
    <w:p>
      <w:pPr>
        <w:pStyle w:val="2"/>
      </w:pPr>
      <w:r>
        <w:rPr>
          <w:rFonts w:hint="eastAsia"/>
        </w:rPr>
        <w:t>自主卫星数据替代率分析</w:t>
      </w:r>
    </w:p>
    <w:p>
      <w:pPr>
        <w:spacing w:line="600" w:lineRule="exact"/>
        <w:ind w:firstLine="640" w:firstLineChars="200"/>
        <w:jc w:val="left"/>
        <w:rPr>
          <w:rFonts w:ascii="仿宋_GB2312" w:hAnsi="仿宋_GB2312" w:cs="仿宋_GB2312"/>
          <w:szCs w:val="32"/>
        </w:rPr>
      </w:pPr>
      <w:r>
        <w:rPr>
          <w:rFonts w:hint="eastAsia" w:ascii="仿宋_GB2312" w:hAnsi="仿宋_GB2312" w:cs="仿宋_GB2312"/>
          <w:szCs w:val="32"/>
        </w:rPr>
        <w:t>按照应用子领域、专题产品、自主卫星替代率（包含高分卫星和其他国产卫星，对国外卫星数据的替代率）列表说明数据替代率，重点补充高分三号卫星数据替代率。</w:t>
      </w:r>
    </w:p>
    <w:tbl>
      <w:tblPr>
        <w:tblStyle w:val="14"/>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5"/>
        <w:gridCol w:w="2700"/>
        <w:gridCol w:w="2460"/>
        <w:gridCol w:w="17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Align w:val="top"/>
          </w:tcPr>
          <w:p>
            <w:pPr>
              <w:spacing w:line="600" w:lineRule="exact"/>
              <w:jc w:val="left"/>
              <w:rPr>
                <w:rFonts w:ascii="仿宋_GB2312" w:hAnsi="仿宋_GB2312" w:cs="仿宋_GB2312"/>
                <w:i/>
                <w:szCs w:val="32"/>
              </w:rPr>
            </w:pPr>
            <w:r>
              <w:rPr>
                <w:rFonts w:hint="eastAsia" w:ascii="仿宋_GB2312" w:hAnsi="仿宋_GB2312" w:cs="仿宋_GB2312"/>
                <w:i/>
                <w:szCs w:val="32"/>
              </w:rPr>
              <w:t>序号</w:t>
            </w:r>
          </w:p>
        </w:tc>
        <w:tc>
          <w:tcPr>
            <w:tcW w:w="2700" w:type="dxa"/>
            <w:vAlign w:val="top"/>
          </w:tcPr>
          <w:p>
            <w:pPr>
              <w:spacing w:line="600" w:lineRule="exact"/>
              <w:jc w:val="left"/>
              <w:rPr>
                <w:rFonts w:ascii="仿宋_GB2312" w:hAnsi="仿宋_GB2312" w:cs="仿宋_GB2312"/>
                <w:i/>
                <w:szCs w:val="32"/>
              </w:rPr>
            </w:pPr>
            <w:r>
              <w:rPr>
                <w:rFonts w:hint="eastAsia" w:ascii="仿宋_GB2312" w:hAnsi="仿宋_GB2312" w:cs="仿宋_GB2312"/>
                <w:i/>
                <w:szCs w:val="32"/>
              </w:rPr>
              <w:t>应用子领域</w:t>
            </w:r>
          </w:p>
        </w:tc>
        <w:tc>
          <w:tcPr>
            <w:tcW w:w="2460" w:type="dxa"/>
            <w:vAlign w:val="top"/>
          </w:tcPr>
          <w:p>
            <w:pPr>
              <w:spacing w:line="600" w:lineRule="exact"/>
              <w:jc w:val="left"/>
              <w:rPr>
                <w:rFonts w:ascii="仿宋_GB2312" w:hAnsi="仿宋_GB2312" w:cs="仿宋_GB2312"/>
                <w:i/>
                <w:szCs w:val="32"/>
              </w:rPr>
            </w:pPr>
            <w:r>
              <w:rPr>
                <w:rFonts w:hint="eastAsia" w:ascii="仿宋_GB2312" w:hAnsi="仿宋_GB2312" w:cs="仿宋_GB2312"/>
                <w:i/>
                <w:szCs w:val="32"/>
              </w:rPr>
              <w:t>专题产品名称</w:t>
            </w:r>
          </w:p>
        </w:tc>
        <w:tc>
          <w:tcPr>
            <w:tcW w:w="1747" w:type="dxa"/>
            <w:vAlign w:val="top"/>
          </w:tcPr>
          <w:p>
            <w:pPr>
              <w:spacing w:line="600" w:lineRule="exact"/>
              <w:jc w:val="center"/>
              <w:rPr>
                <w:rFonts w:ascii="仿宋_GB2312" w:hAnsi="仿宋_GB2312" w:cs="仿宋_GB2312"/>
                <w:i/>
                <w:szCs w:val="32"/>
              </w:rPr>
            </w:pPr>
            <w:r>
              <w:rPr>
                <w:rFonts w:hint="eastAsia" w:ascii="仿宋_GB2312" w:hAnsi="仿宋_GB2312" w:cs="仿宋_GB2312"/>
                <w:i/>
                <w:szCs w:val="32"/>
              </w:rPr>
              <w:t>自主卫星数据替代率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5" w:hRule="atLeast"/>
        </w:trPr>
        <w:tc>
          <w:tcPr>
            <w:tcW w:w="1565" w:type="dxa"/>
            <w:vAlign w:val="top"/>
          </w:tcPr>
          <w:p>
            <w:pPr>
              <w:spacing w:line="600" w:lineRule="exact"/>
              <w:jc w:val="center"/>
              <w:rPr>
                <w:rFonts w:ascii="仿宋_GB2312" w:hAnsi="仿宋_GB2312" w:cs="仿宋_GB2312"/>
                <w:i/>
                <w:szCs w:val="32"/>
              </w:rPr>
            </w:pPr>
            <w:r>
              <w:rPr>
                <w:rFonts w:hint="eastAsia" w:ascii="仿宋_GB2312" w:hAnsi="仿宋_GB2312" w:cs="仿宋_GB2312"/>
                <w:i/>
                <w:szCs w:val="32"/>
              </w:rPr>
              <w:t>1</w:t>
            </w:r>
          </w:p>
        </w:tc>
        <w:tc>
          <w:tcPr>
            <w:tcW w:w="2700" w:type="dxa"/>
            <w:vMerge w:val="restart"/>
            <w:vAlign w:val="top"/>
          </w:tcPr>
          <w:p>
            <w:pPr>
              <w:spacing w:line="600" w:lineRule="exact"/>
              <w:jc w:val="left"/>
              <w:rPr>
                <w:rFonts w:ascii="仿宋_GB2312" w:hAnsi="仿宋_GB2312" w:cs="仿宋_GB2312"/>
                <w:i/>
                <w:szCs w:val="32"/>
              </w:rPr>
            </w:pPr>
            <w:r>
              <w:rPr>
                <w:rFonts w:hint="eastAsia" w:ascii="仿宋_GB2312" w:hAnsi="仿宋_GB2312" w:cs="仿宋_GB2312"/>
                <w:i/>
                <w:szCs w:val="32"/>
              </w:rPr>
              <w:t>土地资源调查与监测</w:t>
            </w:r>
          </w:p>
        </w:tc>
        <w:tc>
          <w:tcPr>
            <w:tcW w:w="2460" w:type="dxa"/>
            <w:vAlign w:val="top"/>
          </w:tcPr>
          <w:p>
            <w:pPr>
              <w:spacing w:line="600" w:lineRule="exact"/>
              <w:jc w:val="left"/>
              <w:rPr>
                <w:rFonts w:ascii="仿宋_GB2312" w:hAnsi="仿宋_GB2312" w:cs="仿宋_GB2312"/>
                <w:i/>
                <w:szCs w:val="32"/>
              </w:rPr>
            </w:pPr>
            <w:r>
              <w:rPr>
                <w:rFonts w:hint="eastAsia" w:ascii="仿宋_GB2312" w:hAnsi="仿宋_GB2312" w:cs="仿宋_GB2312"/>
                <w:i/>
                <w:szCs w:val="32"/>
              </w:rPr>
              <w:t>全国宏观土地监测图</w:t>
            </w:r>
          </w:p>
        </w:tc>
        <w:tc>
          <w:tcPr>
            <w:tcW w:w="1747" w:type="dxa"/>
            <w:vMerge w:val="restart"/>
            <w:vAlign w:val="top"/>
          </w:tcPr>
          <w:p>
            <w:pPr>
              <w:spacing w:line="600" w:lineRule="exact"/>
              <w:jc w:val="center"/>
              <w:rPr>
                <w:rFonts w:ascii="仿宋_GB2312" w:hAnsi="仿宋_GB2312" w:cs="仿宋_GB2312"/>
                <w:i/>
                <w:szCs w:val="32"/>
              </w:rPr>
            </w:pPr>
            <w:r>
              <w:rPr>
                <w:rFonts w:hint="eastAsia" w:ascii="仿宋_GB2312" w:hAnsi="仿宋_GB2312" w:cs="仿宋_GB2312"/>
                <w:i/>
                <w:szCs w:val="32"/>
              </w:rPr>
              <w:t>8</w:t>
            </w:r>
            <w:r>
              <w:rPr>
                <w:rFonts w:ascii="仿宋_GB2312" w:hAnsi="仿宋_GB2312" w:cs="仿宋_GB2312"/>
                <w:i/>
                <w:szCs w:val="32"/>
              </w:rPr>
              <w:t>0</w:t>
            </w:r>
            <w:r>
              <w:rPr>
                <w:rFonts w:hint="eastAsia" w:ascii="仿宋_GB2312" w:hAnsi="仿宋_GB2312" w:cs="仿宋_GB2312"/>
                <w:i/>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Align w:val="top"/>
          </w:tcPr>
          <w:p>
            <w:pPr>
              <w:spacing w:line="600" w:lineRule="exact"/>
              <w:jc w:val="center"/>
              <w:rPr>
                <w:rFonts w:ascii="仿宋_GB2312" w:hAnsi="仿宋_GB2312" w:cs="仿宋_GB2312"/>
                <w:i/>
                <w:szCs w:val="32"/>
              </w:rPr>
            </w:pPr>
            <w:r>
              <w:rPr>
                <w:rFonts w:hint="eastAsia" w:ascii="仿宋_GB2312" w:hAnsi="仿宋_GB2312" w:cs="仿宋_GB2312"/>
                <w:i/>
                <w:szCs w:val="32"/>
              </w:rPr>
              <w:t>2</w:t>
            </w:r>
          </w:p>
        </w:tc>
        <w:tc>
          <w:tcPr>
            <w:tcW w:w="2700" w:type="dxa"/>
            <w:vMerge w:val="continue"/>
            <w:vAlign w:val="top"/>
          </w:tcPr>
          <w:p>
            <w:pPr>
              <w:spacing w:line="600" w:lineRule="exact"/>
              <w:jc w:val="left"/>
              <w:rPr>
                <w:rFonts w:ascii="仿宋_GB2312" w:hAnsi="仿宋_GB2312" w:cs="仿宋_GB2312"/>
                <w:i/>
                <w:szCs w:val="32"/>
              </w:rPr>
            </w:pPr>
          </w:p>
        </w:tc>
        <w:tc>
          <w:tcPr>
            <w:tcW w:w="2460" w:type="dxa"/>
            <w:vAlign w:val="top"/>
          </w:tcPr>
          <w:p>
            <w:pPr>
              <w:spacing w:line="600" w:lineRule="exact"/>
              <w:jc w:val="left"/>
              <w:rPr>
                <w:rFonts w:ascii="仿宋_GB2312" w:hAnsi="仿宋_GB2312" w:cs="仿宋_GB2312"/>
                <w:i/>
                <w:szCs w:val="32"/>
              </w:rPr>
            </w:pPr>
            <w:r>
              <w:rPr>
                <w:rFonts w:hint="eastAsia" w:ascii="仿宋_GB2312" w:hAnsi="仿宋_GB2312" w:cs="仿宋_GB2312"/>
                <w:i/>
                <w:szCs w:val="32"/>
              </w:rPr>
              <w:t>土地利用变化监测图</w:t>
            </w:r>
          </w:p>
        </w:tc>
        <w:tc>
          <w:tcPr>
            <w:tcW w:w="1747" w:type="dxa"/>
            <w:vMerge w:val="continue"/>
            <w:vAlign w:val="top"/>
          </w:tcPr>
          <w:p>
            <w:pPr>
              <w:spacing w:line="600" w:lineRule="exact"/>
              <w:jc w:val="left"/>
              <w:rPr>
                <w:rFonts w:ascii="仿宋_GB2312" w:hAnsi="仿宋_GB2312" w:cs="仿宋_GB2312"/>
                <w:i/>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Align w:val="top"/>
          </w:tcPr>
          <w:p>
            <w:pPr>
              <w:spacing w:line="600" w:lineRule="exact"/>
              <w:jc w:val="center"/>
              <w:rPr>
                <w:rFonts w:ascii="仿宋_GB2312" w:hAnsi="仿宋_GB2312" w:cs="仿宋_GB2312"/>
                <w:i/>
                <w:szCs w:val="32"/>
              </w:rPr>
            </w:pPr>
            <w:r>
              <w:rPr>
                <w:rFonts w:hint="eastAsia" w:ascii="仿宋_GB2312" w:hAnsi="仿宋_GB2312" w:cs="仿宋_GB2312"/>
                <w:i/>
                <w:szCs w:val="32"/>
              </w:rPr>
              <w:t>3</w:t>
            </w:r>
          </w:p>
        </w:tc>
        <w:tc>
          <w:tcPr>
            <w:tcW w:w="2700" w:type="dxa"/>
            <w:vMerge w:val="continue"/>
            <w:vAlign w:val="top"/>
          </w:tcPr>
          <w:p>
            <w:pPr>
              <w:spacing w:line="600" w:lineRule="exact"/>
              <w:jc w:val="left"/>
              <w:rPr>
                <w:rFonts w:ascii="仿宋_GB2312" w:hAnsi="仿宋_GB2312" w:cs="仿宋_GB2312"/>
                <w:i/>
                <w:szCs w:val="32"/>
              </w:rPr>
            </w:pPr>
          </w:p>
        </w:tc>
        <w:tc>
          <w:tcPr>
            <w:tcW w:w="2460" w:type="dxa"/>
            <w:vAlign w:val="top"/>
          </w:tcPr>
          <w:p>
            <w:pPr>
              <w:spacing w:line="600" w:lineRule="exact"/>
              <w:jc w:val="left"/>
              <w:rPr>
                <w:rFonts w:ascii="仿宋_GB2312" w:hAnsi="仿宋_GB2312" w:cs="仿宋_GB2312"/>
                <w:i/>
                <w:szCs w:val="32"/>
              </w:rPr>
            </w:pPr>
            <w:r>
              <w:rPr>
                <w:rFonts w:hint="eastAsia" w:ascii="仿宋_GB2312" w:hAnsi="仿宋_GB2312" w:cs="仿宋_GB2312"/>
                <w:i/>
                <w:szCs w:val="32"/>
              </w:rPr>
              <w:t>土地覆盖调查图</w:t>
            </w:r>
          </w:p>
        </w:tc>
        <w:tc>
          <w:tcPr>
            <w:tcW w:w="1747" w:type="dxa"/>
            <w:vMerge w:val="continue"/>
            <w:vAlign w:val="top"/>
          </w:tcPr>
          <w:p>
            <w:pPr>
              <w:spacing w:line="600" w:lineRule="exact"/>
              <w:jc w:val="left"/>
              <w:rPr>
                <w:rFonts w:ascii="仿宋_GB2312" w:hAnsi="仿宋_GB2312" w:cs="仿宋_GB2312"/>
                <w:i/>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65" w:type="dxa"/>
            <w:vAlign w:val="top"/>
          </w:tcPr>
          <w:p>
            <w:pPr>
              <w:spacing w:line="600" w:lineRule="exact"/>
              <w:jc w:val="left"/>
              <w:rPr>
                <w:rFonts w:ascii="仿宋_GB2312" w:hAnsi="仿宋_GB2312" w:cs="仿宋_GB2312"/>
                <w:i/>
                <w:szCs w:val="32"/>
              </w:rPr>
            </w:pPr>
          </w:p>
        </w:tc>
        <w:tc>
          <w:tcPr>
            <w:tcW w:w="2700" w:type="dxa"/>
            <w:vAlign w:val="top"/>
          </w:tcPr>
          <w:p>
            <w:pPr>
              <w:spacing w:line="600" w:lineRule="exact"/>
              <w:jc w:val="left"/>
              <w:rPr>
                <w:rFonts w:ascii="仿宋_GB2312" w:hAnsi="仿宋_GB2312" w:cs="仿宋_GB2312"/>
                <w:i/>
                <w:szCs w:val="32"/>
              </w:rPr>
            </w:pPr>
          </w:p>
        </w:tc>
        <w:tc>
          <w:tcPr>
            <w:tcW w:w="2460" w:type="dxa"/>
            <w:vAlign w:val="top"/>
          </w:tcPr>
          <w:p>
            <w:pPr>
              <w:spacing w:line="600" w:lineRule="exact"/>
              <w:jc w:val="left"/>
              <w:rPr>
                <w:rFonts w:ascii="仿宋_GB2312" w:hAnsi="仿宋_GB2312" w:cs="仿宋_GB2312"/>
                <w:i/>
                <w:szCs w:val="32"/>
              </w:rPr>
            </w:pPr>
          </w:p>
        </w:tc>
        <w:tc>
          <w:tcPr>
            <w:tcW w:w="1747" w:type="dxa"/>
            <w:vAlign w:val="top"/>
          </w:tcPr>
          <w:p>
            <w:pPr>
              <w:spacing w:line="600" w:lineRule="exact"/>
              <w:jc w:val="left"/>
              <w:rPr>
                <w:rFonts w:ascii="仿宋_GB2312" w:hAnsi="仿宋_GB2312" w:cs="仿宋_GB2312"/>
                <w:i/>
                <w:szCs w:val="32"/>
              </w:rPr>
            </w:pPr>
          </w:p>
        </w:tc>
      </w:tr>
    </w:tbl>
    <w:p>
      <w:pPr>
        <w:spacing w:line="600" w:lineRule="exact"/>
        <w:jc w:val="left"/>
        <w:rPr>
          <w:rFonts w:hint="eastAsia" w:ascii="仿宋_GB2312" w:hAnsi="仿宋_GB2312" w:cs="仿宋_GB2312"/>
          <w:szCs w:val="32"/>
        </w:rPr>
      </w:pPr>
    </w:p>
    <w:p>
      <w:pPr>
        <w:pStyle w:val="2"/>
        <w:rPr>
          <w:rFonts w:hint="eastAsia"/>
        </w:rPr>
      </w:pPr>
      <w:r>
        <w:rPr>
          <w:rFonts w:hint="eastAsia"/>
        </w:rPr>
        <w:t>高分卫星应用情况</w:t>
      </w:r>
    </w:p>
    <w:p>
      <w:pPr>
        <w:numPr>
          <w:ilvl w:val="0"/>
          <w:numId w:val="6"/>
        </w:numPr>
        <w:spacing w:line="600" w:lineRule="exact"/>
        <w:rPr>
          <w:rFonts w:ascii="仿宋_GB2312" w:hAnsi="仿宋_GB2312" w:cs="仿宋_GB2312"/>
          <w:szCs w:val="32"/>
        </w:rPr>
      </w:pPr>
      <w:r>
        <w:rPr>
          <w:rFonts w:hint="eastAsia" w:ascii="仿宋_GB2312" w:hAnsi="仿宋_GB2312" w:cs="仿宋_GB2312"/>
          <w:szCs w:val="32"/>
        </w:rPr>
        <w:t>产品清单、标准清单和服务清单</w:t>
      </w:r>
    </w:p>
    <w:p>
      <w:pPr>
        <w:numPr>
          <w:ilvl w:val="0"/>
          <w:numId w:val="7"/>
        </w:numPr>
        <w:spacing w:line="600" w:lineRule="exact"/>
        <w:rPr>
          <w:rFonts w:ascii="仿宋_GB2312" w:hAnsi="仿宋_GB2312" w:cs="仿宋_GB2312"/>
          <w:szCs w:val="32"/>
        </w:rPr>
      </w:pPr>
      <w:r>
        <w:rPr>
          <w:rFonts w:hint="eastAsia" w:ascii="仿宋_GB2312" w:hAnsi="仿宋_GB2312" w:cs="仿宋_GB2312"/>
          <w:szCs w:val="32"/>
        </w:rPr>
        <w:t>产品清单</w:t>
      </w:r>
    </w:p>
    <w:tbl>
      <w:tblPr>
        <w:tblStyle w:val="14"/>
        <w:tblW w:w="83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843"/>
        <w:gridCol w:w="1559"/>
        <w:gridCol w:w="1843"/>
        <w:gridCol w:w="2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blHeader/>
          <w:jc w:val="center"/>
        </w:trPr>
        <w:tc>
          <w:tcPr>
            <w:tcW w:w="858" w:type="dxa"/>
            <w:shd w:val="clear" w:color="auto" w:fill="auto"/>
            <w:vAlign w:val="center"/>
          </w:tcPr>
          <w:p>
            <w:pPr>
              <w:widowControl/>
              <w:jc w:val="center"/>
              <w:rPr>
                <w:rFonts w:ascii="宋体" w:hAnsi="Calibri" w:eastAsia="宋体"/>
                <w:b/>
                <w:bCs/>
                <w:sz w:val="28"/>
                <w:szCs w:val="28"/>
              </w:rPr>
            </w:pPr>
            <w:r>
              <w:rPr>
                <w:rFonts w:hint="eastAsia" w:ascii="宋体" w:hAnsi="Calibri" w:eastAsia="宋体"/>
                <w:b/>
                <w:bCs/>
                <w:sz w:val="28"/>
                <w:szCs w:val="28"/>
              </w:rPr>
              <w:t>序号</w:t>
            </w:r>
          </w:p>
        </w:tc>
        <w:tc>
          <w:tcPr>
            <w:tcW w:w="1843" w:type="dxa"/>
            <w:shd w:val="clear" w:color="auto" w:fill="auto"/>
            <w:vAlign w:val="center"/>
          </w:tcPr>
          <w:p>
            <w:pPr>
              <w:widowControl/>
              <w:jc w:val="center"/>
              <w:rPr>
                <w:rFonts w:ascii="宋体" w:hAnsi="Calibri" w:eastAsia="宋体"/>
                <w:b/>
                <w:bCs/>
                <w:sz w:val="28"/>
                <w:szCs w:val="28"/>
              </w:rPr>
            </w:pPr>
            <w:r>
              <w:rPr>
                <w:rFonts w:hint="eastAsia" w:ascii="宋体" w:hAnsi="Calibri" w:eastAsia="宋体"/>
                <w:b/>
                <w:bCs/>
                <w:sz w:val="28"/>
                <w:szCs w:val="28"/>
              </w:rPr>
              <w:t>产品名称</w:t>
            </w:r>
          </w:p>
        </w:tc>
        <w:tc>
          <w:tcPr>
            <w:tcW w:w="1559" w:type="dxa"/>
            <w:shd w:val="clear" w:color="auto" w:fill="auto"/>
            <w:vAlign w:val="center"/>
          </w:tcPr>
          <w:p>
            <w:pPr>
              <w:widowControl/>
              <w:jc w:val="center"/>
              <w:rPr>
                <w:rFonts w:ascii="宋体" w:hAnsi="Calibri" w:eastAsia="宋体"/>
                <w:b/>
                <w:bCs/>
                <w:sz w:val="28"/>
                <w:szCs w:val="28"/>
              </w:rPr>
            </w:pPr>
            <w:r>
              <w:rPr>
                <w:rFonts w:hint="eastAsia" w:ascii="宋体" w:hAnsi="Calibri" w:eastAsia="宋体"/>
                <w:b/>
                <w:bCs/>
                <w:sz w:val="28"/>
                <w:szCs w:val="28"/>
              </w:rPr>
              <w:t>产品分级</w:t>
            </w:r>
          </w:p>
        </w:tc>
        <w:tc>
          <w:tcPr>
            <w:tcW w:w="1843" w:type="dxa"/>
            <w:shd w:val="clear" w:color="auto" w:fill="auto"/>
            <w:vAlign w:val="center"/>
          </w:tcPr>
          <w:p>
            <w:pPr>
              <w:widowControl/>
              <w:jc w:val="center"/>
              <w:rPr>
                <w:rFonts w:ascii="宋体" w:hAnsi="Calibri" w:eastAsia="宋体"/>
                <w:b/>
                <w:bCs/>
                <w:sz w:val="28"/>
                <w:szCs w:val="28"/>
              </w:rPr>
            </w:pPr>
            <w:r>
              <w:rPr>
                <w:rFonts w:hint="eastAsia" w:ascii="宋体" w:hAnsi="Calibri" w:eastAsia="宋体"/>
                <w:b/>
                <w:bCs/>
                <w:sz w:val="28"/>
                <w:szCs w:val="28"/>
              </w:rPr>
              <w:t>适用领域</w:t>
            </w:r>
          </w:p>
        </w:tc>
        <w:tc>
          <w:tcPr>
            <w:tcW w:w="2216" w:type="dxa"/>
            <w:shd w:val="clear" w:color="auto" w:fill="auto"/>
            <w:vAlign w:val="center"/>
          </w:tcPr>
          <w:p>
            <w:pPr>
              <w:widowControl/>
              <w:jc w:val="center"/>
              <w:rPr>
                <w:rFonts w:ascii="宋体" w:hAnsi="Calibri" w:eastAsia="宋体"/>
                <w:b/>
                <w:bCs/>
                <w:sz w:val="28"/>
                <w:szCs w:val="28"/>
              </w:rPr>
            </w:pPr>
            <w:r>
              <w:rPr>
                <w:rFonts w:hint="eastAsia" w:ascii="宋体" w:hAnsi="Calibri" w:eastAsia="宋体"/>
                <w:b/>
                <w:bCs/>
                <w:sz w:val="28"/>
                <w:szCs w:val="28"/>
              </w:rPr>
              <w:t>简要说明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858" w:type="dxa"/>
            <w:shd w:val="clear" w:color="auto" w:fill="auto"/>
            <w:vAlign w:val="center"/>
          </w:tcPr>
          <w:p>
            <w:pPr>
              <w:widowControl/>
              <w:jc w:val="left"/>
              <w:rPr>
                <w:rFonts w:ascii="仿宋" w:hAnsi="仿宋" w:eastAsia="仿宋"/>
                <w:sz w:val="24"/>
                <w:szCs w:val="24"/>
              </w:rPr>
            </w:pPr>
          </w:p>
        </w:tc>
        <w:tc>
          <w:tcPr>
            <w:tcW w:w="1843" w:type="dxa"/>
            <w:shd w:val="clear" w:color="auto" w:fill="auto"/>
            <w:vAlign w:val="center"/>
          </w:tcPr>
          <w:p>
            <w:pPr>
              <w:widowControl/>
              <w:jc w:val="left"/>
              <w:rPr>
                <w:rFonts w:ascii="仿宋" w:hAnsi="仿宋" w:eastAsia="仿宋"/>
                <w:sz w:val="24"/>
                <w:szCs w:val="24"/>
              </w:rPr>
            </w:pPr>
          </w:p>
        </w:tc>
        <w:tc>
          <w:tcPr>
            <w:tcW w:w="1559" w:type="dxa"/>
            <w:shd w:val="clear" w:color="auto" w:fill="auto"/>
            <w:vAlign w:val="center"/>
          </w:tcPr>
          <w:p>
            <w:pPr>
              <w:widowControl/>
              <w:jc w:val="left"/>
              <w:rPr>
                <w:rFonts w:ascii="仿宋" w:hAnsi="仿宋" w:eastAsia="仿宋"/>
                <w:sz w:val="24"/>
                <w:szCs w:val="24"/>
              </w:rPr>
            </w:pPr>
          </w:p>
        </w:tc>
        <w:tc>
          <w:tcPr>
            <w:tcW w:w="1843" w:type="dxa"/>
            <w:shd w:val="clear" w:color="auto" w:fill="auto"/>
            <w:vAlign w:val="center"/>
          </w:tcPr>
          <w:p>
            <w:pPr>
              <w:widowControl/>
              <w:jc w:val="left"/>
              <w:rPr>
                <w:rFonts w:ascii="仿宋" w:hAnsi="仿宋" w:eastAsia="仿宋"/>
                <w:sz w:val="24"/>
                <w:szCs w:val="24"/>
              </w:rPr>
            </w:pPr>
          </w:p>
        </w:tc>
        <w:tc>
          <w:tcPr>
            <w:tcW w:w="2216" w:type="dxa"/>
            <w:shd w:val="clear" w:color="auto" w:fill="auto"/>
            <w:vAlign w:val="center"/>
          </w:tcPr>
          <w:p>
            <w:pPr>
              <w:widowControl/>
              <w:jc w:val="lef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858" w:type="dxa"/>
            <w:shd w:val="clear" w:color="auto" w:fill="auto"/>
            <w:vAlign w:val="center"/>
          </w:tcPr>
          <w:p>
            <w:pPr>
              <w:widowControl/>
              <w:jc w:val="left"/>
              <w:rPr>
                <w:rFonts w:ascii="仿宋" w:hAnsi="仿宋" w:eastAsia="仿宋"/>
                <w:sz w:val="24"/>
                <w:szCs w:val="24"/>
              </w:rPr>
            </w:pPr>
          </w:p>
        </w:tc>
        <w:tc>
          <w:tcPr>
            <w:tcW w:w="1843" w:type="dxa"/>
            <w:shd w:val="clear" w:color="auto" w:fill="auto"/>
            <w:vAlign w:val="center"/>
          </w:tcPr>
          <w:p>
            <w:pPr>
              <w:widowControl/>
              <w:jc w:val="left"/>
              <w:rPr>
                <w:rFonts w:ascii="仿宋" w:hAnsi="仿宋" w:eastAsia="仿宋"/>
                <w:sz w:val="24"/>
                <w:szCs w:val="24"/>
              </w:rPr>
            </w:pPr>
          </w:p>
        </w:tc>
        <w:tc>
          <w:tcPr>
            <w:tcW w:w="1559" w:type="dxa"/>
            <w:shd w:val="clear" w:color="auto" w:fill="auto"/>
            <w:vAlign w:val="center"/>
          </w:tcPr>
          <w:p>
            <w:pPr>
              <w:widowControl/>
              <w:jc w:val="left"/>
              <w:rPr>
                <w:rFonts w:ascii="仿宋" w:hAnsi="仿宋" w:eastAsia="仿宋"/>
                <w:sz w:val="24"/>
                <w:szCs w:val="24"/>
              </w:rPr>
            </w:pPr>
          </w:p>
        </w:tc>
        <w:tc>
          <w:tcPr>
            <w:tcW w:w="1843" w:type="dxa"/>
            <w:shd w:val="clear" w:color="auto" w:fill="auto"/>
            <w:vAlign w:val="center"/>
          </w:tcPr>
          <w:p>
            <w:pPr>
              <w:widowControl/>
              <w:jc w:val="left"/>
              <w:rPr>
                <w:rFonts w:ascii="仿宋" w:hAnsi="仿宋" w:eastAsia="仿宋"/>
                <w:sz w:val="24"/>
                <w:szCs w:val="24"/>
              </w:rPr>
            </w:pPr>
          </w:p>
        </w:tc>
        <w:tc>
          <w:tcPr>
            <w:tcW w:w="2216" w:type="dxa"/>
            <w:shd w:val="clear" w:color="auto" w:fill="auto"/>
            <w:vAlign w:val="center"/>
          </w:tcPr>
          <w:p>
            <w:pPr>
              <w:widowControl/>
              <w:jc w:val="lef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858" w:type="dxa"/>
            <w:shd w:val="clear" w:color="auto" w:fill="auto"/>
            <w:vAlign w:val="center"/>
          </w:tcPr>
          <w:p>
            <w:pPr>
              <w:widowControl/>
              <w:jc w:val="left"/>
              <w:rPr>
                <w:rFonts w:ascii="仿宋" w:hAnsi="仿宋" w:eastAsia="仿宋"/>
                <w:sz w:val="24"/>
                <w:szCs w:val="24"/>
              </w:rPr>
            </w:pPr>
          </w:p>
        </w:tc>
        <w:tc>
          <w:tcPr>
            <w:tcW w:w="1843" w:type="dxa"/>
            <w:shd w:val="clear" w:color="auto" w:fill="auto"/>
            <w:vAlign w:val="center"/>
          </w:tcPr>
          <w:p>
            <w:pPr>
              <w:widowControl/>
              <w:jc w:val="left"/>
              <w:rPr>
                <w:rFonts w:ascii="仿宋" w:hAnsi="仿宋" w:eastAsia="仿宋"/>
                <w:sz w:val="24"/>
                <w:szCs w:val="24"/>
              </w:rPr>
            </w:pPr>
          </w:p>
        </w:tc>
        <w:tc>
          <w:tcPr>
            <w:tcW w:w="1559" w:type="dxa"/>
            <w:shd w:val="clear" w:color="auto" w:fill="auto"/>
            <w:vAlign w:val="center"/>
          </w:tcPr>
          <w:p>
            <w:pPr>
              <w:widowControl/>
              <w:jc w:val="left"/>
              <w:rPr>
                <w:rFonts w:ascii="仿宋" w:hAnsi="仿宋" w:eastAsia="仿宋"/>
                <w:sz w:val="24"/>
                <w:szCs w:val="24"/>
              </w:rPr>
            </w:pPr>
          </w:p>
        </w:tc>
        <w:tc>
          <w:tcPr>
            <w:tcW w:w="1843" w:type="dxa"/>
            <w:shd w:val="clear" w:color="auto" w:fill="auto"/>
            <w:vAlign w:val="center"/>
          </w:tcPr>
          <w:p>
            <w:pPr>
              <w:widowControl/>
              <w:jc w:val="left"/>
              <w:rPr>
                <w:rFonts w:ascii="仿宋" w:hAnsi="仿宋" w:eastAsia="仿宋"/>
                <w:sz w:val="24"/>
                <w:szCs w:val="24"/>
              </w:rPr>
            </w:pPr>
          </w:p>
        </w:tc>
        <w:tc>
          <w:tcPr>
            <w:tcW w:w="2216" w:type="dxa"/>
            <w:shd w:val="clear" w:color="auto" w:fill="auto"/>
            <w:vAlign w:val="center"/>
          </w:tcPr>
          <w:p>
            <w:pPr>
              <w:widowControl/>
              <w:jc w:val="lef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858" w:type="dxa"/>
            <w:shd w:val="clear" w:color="auto" w:fill="auto"/>
            <w:vAlign w:val="center"/>
          </w:tcPr>
          <w:p>
            <w:pPr>
              <w:widowControl/>
              <w:jc w:val="left"/>
              <w:rPr>
                <w:rFonts w:ascii="仿宋" w:hAnsi="仿宋" w:eastAsia="仿宋"/>
                <w:sz w:val="24"/>
                <w:szCs w:val="24"/>
              </w:rPr>
            </w:pPr>
          </w:p>
        </w:tc>
        <w:tc>
          <w:tcPr>
            <w:tcW w:w="1843" w:type="dxa"/>
            <w:shd w:val="clear" w:color="auto" w:fill="auto"/>
            <w:vAlign w:val="center"/>
          </w:tcPr>
          <w:p>
            <w:pPr>
              <w:widowControl/>
              <w:jc w:val="left"/>
              <w:rPr>
                <w:rFonts w:ascii="仿宋" w:hAnsi="仿宋" w:eastAsia="仿宋"/>
                <w:sz w:val="24"/>
                <w:szCs w:val="24"/>
              </w:rPr>
            </w:pPr>
          </w:p>
        </w:tc>
        <w:tc>
          <w:tcPr>
            <w:tcW w:w="1559" w:type="dxa"/>
            <w:shd w:val="clear" w:color="auto" w:fill="auto"/>
            <w:vAlign w:val="center"/>
          </w:tcPr>
          <w:p>
            <w:pPr>
              <w:widowControl/>
              <w:jc w:val="left"/>
              <w:rPr>
                <w:rFonts w:ascii="仿宋" w:hAnsi="仿宋" w:eastAsia="仿宋"/>
                <w:sz w:val="24"/>
                <w:szCs w:val="24"/>
              </w:rPr>
            </w:pPr>
          </w:p>
        </w:tc>
        <w:tc>
          <w:tcPr>
            <w:tcW w:w="1843" w:type="dxa"/>
            <w:shd w:val="clear" w:color="auto" w:fill="auto"/>
            <w:vAlign w:val="center"/>
          </w:tcPr>
          <w:p>
            <w:pPr>
              <w:widowControl/>
              <w:jc w:val="left"/>
              <w:rPr>
                <w:rFonts w:ascii="仿宋" w:hAnsi="仿宋" w:eastAsia="仿宋"/>
                <w:sz w:val="24"/>
                <w:szCs w:val="24"/>
              </w:rPr>
            </w:pPr>
          </w:p>
        </w:tc>
        <w:tc>
          <w:tcPr>
            <w:tcW w:w="2216" w:type="dxa"/>
            <w:shd w:val="clear" w:color="auto" w:fill="auto"/>
            <w:vAlign w:val="center"/>
          </w:tcPr>
          <w:p>
            <w:pPr>
              <w:widowControl/>
              <w:jc w:val="left"/>
              <w:rPr>
                <w:rFonts w:ascii="仿宋" w:hAnsi="仿宋" w:eastAsia="仿宋"/>
                <w:sz w:val="24"/>
                <w:szCs w:val="24"/>
              </w:rPr>
            </w:pPr>
          </w:p>
        </w:tc>
      </w:tr>
    </w:tbl>
    <w:p>
      <w:pPr>
        <w:numPr>
          <w:ilvl w:val="0"/>
          <w:numId w:val="7"/>
        </w:numPr>
        <w:spacing w:line="600" w:lineRule="exact"/>
        <w:rPr>
          <w:rFonts w:ascii="仿宋_GB2312" w:hAnsi="仿宋_GB2312" w:cs="仿宋_GB2312"/>
          <w:szCs w:val="32"/>
        </w:rPr>
      </w:pPr>
      <w:r>
        <w:rPr>
          <w:rFonts w:hint="eastAsia" w:ascii="仿宋_GB2312" w:hAnsi="仿宋_GB2312" w:cs="仿宋_GB2312"/>
          <w:szCs w:val="32"/>
        </w:rPr>
        <w:t>服务清单</w:t>
      </w:r>
    </w:p>
    <w:tbl>
      <w:tblPr>
        <w:tblStyle w:val="14"/>
        <w:tblW w:w="83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1924"/>
        <w:gridCol w:w="1583"/>
        <w:gridCol w:w="3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blHeader/>
          <w:jc w:val="center"/>
        </w:trPr>
        <w:tc>
          <w:tcPr>
            <w:tcW w:w="858" w:type="dxa"/>
            <w:shd w:val="clear" w:color="auto" w:fill="auto"/>
            <w:vAlign w:val="center"/>
          </w:tcPr>
          <w:p>
            <w:pPr>
              <w:widowControl/>
              <w:jc w:val="left"/>
              <w:rPr>
                <w:rFonts w:ascii="宋体" w:hAnsi="Calibri" w:eastAsia="宋体"/>
                <w:b/>
                <w:bCs/>
                <w:sz w:val="28"/>
                <w:szCs w:val="28"/>
              </w:rPr>
            </w:pPr>
            <w:r>
              <w:rPr>
                <w:rFonts w:hint="eastAsia" w:ascii="宋体" w:hAnsi="Calibri" w:eastAsia="宋体"/>
                <w:b/>
                <w:bCs/>
                <w:sz w:val="28"/>
                <w:szCs w:val="28"/>
              </w:rPr>
              <w:t>序号</w:t>
            </w:r>
          </w:p>
        </w:tc>
        <w:tc>
          <w:tcPr>
            <w:tcW w:w="1924" w:type="dxa"/>
            <w:shd w:val="clear" w:color="auto" w:fill="auto"/>
            <w:vAlign w:val="center"/>
          </w:tcPr>
          <w:p>
            <w:pPr>
              <w:widowControl/>
              <w:jc w:val="left"/>
              <w:rPr>
                <w:rFonts w:ascii="宋体" w:hAnsi="Calibri" w:eastAsia="宋体"/>
                <w:b/>
                <w:bCs/>
                <w:sz w:val="28"/>
                <w:szCs w:val="28"/>
              </w:rPr>
            </w:pPr>
            <w:r>
              <w:rPr>
                <w:rFonts w:hint="eastAsia" w:ascii="宋体" w:hAnsi="Calibri" w:eastAsia="宋体"/>
                <w:b/>
                <w:bCs/>
                <w:sz w:val="28"/>
                <w:szCs w:val="28"/>
              </w:rPr>
              <w:t>服务名称</w:t>
            </w:r>
          </w:p>
        </w:tc>
        <w:tc>
          <w:tcPr>
            <w:tcW w:w="1583" w:type="dxa"/>
            <w:shd w:val="clear" w:color="auto" w:fill="auto"/>
            <w:vAlign w:val="center"/>
          </w:tcPr>
          <w:p>
            <w:pPr>
              <w:widowControl/>
              <w:jc w:val="left"/>
              <w:rPr>
                <w:rFonts w:ascii="宋体" w:hAnsi="Calibri" w:eastAsia="宋体"/>
                <w:b/>
                <w:bCs/>
                <w:sz w:val="28"/>
                <w:szCs w:val="28"/>
              </w:rPr>
            </w:pPr>
            <w:r>
              <w:rPr>
                <w:rFonts w:hint="eastAsia" w:ascii="宋体" w:hAnsi="Calibri" w:eastAsia="宋体"/>
                <w:b/>
                <w:bCs/>
                <w:sz w:val="28"/>
                <w:szCs w:val="28"/>
              </w:rPr>
              <w:t>服务对象</w:t>
            </w:r>
          </w:p>
        </w:tc>
        <w:tc>
          <w:tcPr>
            <w:tcW w:w="3954" w:type="dxa"/>
            <w:shd w:val="clear" w:color="auto" w:fill="auto"/>
            <w:vAlign w:val="center"/>
          </w:tcPr>
          <w:p>
            <w:pPr>
              <w:widowControl/>
              <w:jc w:val="left"/>
              <w:rPr>
                <w:rFonts w:ascii="宋体" w:hAnsi="Calibri" w:eastAsia="宋体"/>
                <w:b/>
                <w:bCs/>
                <w:sz w:val="28"/>
                <w:szCs w:val="28"/>
              </w:rPr>
            </w:pPr>
            <w:r>
              <w:rPr>
                <w:rFonts w:hint="eastAsia" w:ascii="宋体" w:hAnsi="Calibri" w:eastAsia="宋体"/>
                <w:b/>
                <w:bCs/>
                <w:sz w:val="28"/>
                <w:szCs w:val="28"/>
              </w:rPr>
              <w:t>简要说明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858" w:type="dxa"/>
            <w:shd w:val="clear" w:color="auto" w:fill="auto"/>
            <w:vAlign w:val="center"/>
          </w:tcPr>
          <w:p>
            <w:pPr>
              <w:widowControl/>
              <w:jc w:val="left"/>
              <w:rPr>
                <w:rFonts w:ascii="仿宋" w:hAnsi="仿宋" w:eastAsia="仿宋"/>
                <w:sz w:val="24"/>
                <w:szCs w:val="24"/>
              </w:rPr>
            </w:pPr>
          </w:p>
        </w:tc>
        <w:tc>
          <w:tcPr>
            <w:tcW w:w="1924" w:type="dxa"/>
            <w:shd w:val="clear" w:color="auto" w:fill="auto"/>
            <w:vAlign w:val="center"/>
          </w:tcPr>
          <w:p>
            <w:pPr>
              <w:widowControl/>
              <w:jc w:val="left"/>
              <w:rPr>
                <w:rFonts w:ascii="仿宋" w:hAnsi="仿宋" w:eastAsia="仿宋"/>
                <w:sz w:val="24"/>
                <w:szCs w:val="24"/>
              </w:rPr>
            </w:pPr>
          </w:p>
        </w:tc>
        <w:tc>
          <w:tcPr>
            <w:tcW w:w="1583" w:type="dxa"/>
            <w:shd w:val="clear" w:color="auto" w:fill="auto"/>
            <w:vAlign w:val="center"/>
          </w:tcPr>
          <w:p>
            <w:pPr>
              <w:widowControl/>
              <w:jc w:val="left"/>
              <w:rPr>
                <w:rFonts w:ascii="仿宋" w:hAnsi="仿宋" w:eastAsia="仿宋"/>
                <w:sz w:val="24"/>
                <w:szCs w:val="24"/>
              </w:rPr>
            </w:pPr>
          </w:p>
        </w:tc>
        <w:tc>
          <w:tcPr>
            <w:tcW w:w="3954" w:type="dxa"/>
            <w:shd w:val="clear" w:color="auto" w:fill="auto"/>
            <w:vAlign w:val="center"/>
          </w:tcPr>
          <w:p>
            <w:pPr>
              <w:widowControl/>
              <w:jc w:val="lef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858" w:type="dxa"/>
            <w:shd w:val="clear" w:color="auto" w:fill="auto"/>
            <w:vAlign w:val="center"/>
          </w:tcPr>
          <w:p>
            <w:pPr>
              <w:widowControl/>
              <w:jc w:val="left"/>
              <w:rPr>
                <w:rFonts w:ascii="仿宋" w:hAnsi="仿宋" w:eastAsia="仿宋"/>
                <w:sz w:val="24"/>
                <w:szCs w:val="24"/>
              </w:rPr>
            </w:pPr>
          </w:p>
        </w:tc>
        <w:tc>
          <w:tcPr>
            <w:tcW w:w="1924" w:type="dxa"/>
            <w:shd w:val="clear" w:color="auto" w:fill="auto"/>
            <w:vAlign w:val="center"/>
          </w:tcPr>
          <w:p>
            <w:pPr>
              <w:widowControl/>
              <w:jc w:val="left"/>
              <w:rPr>
                <w:rFonts w:ascii="仿宋" w:hAnsi="仿宋" w:eastAsia="仿宋"/>
                <w:sz w:val="24"/>
                <w:szCs w:val="24"/>
              </w:rPr>
            </w:pPr>
          </w:p>
        </w:tc>
        <w:tc>
          <w:tcPr>
            <w:tcW w:w="1583" w:type="dxa"/>
            <w:shd w:val="clear" w:color="auto" w:fill="auto"/>
            <w:vAlign w:val="center"/>
          </w:tcPr>
          <w:p>
            <w:pPr>
              <w:widowControl/>
              <w:jc w:val="left"/>
              <w:rPr>
                <w:rFonts w:ascii="仿宋" w:hAnsi="仿宋" w:eastAsia="仿宋"/>
                <w:sz w:val="24"/>
                <w:szCs w:val="24"/>
              </w:rPr>
            </w:pPr>
          </w:p>
        </w:tc>
        <w:tc>
          <w:tcPr>
            <w:tcW w:w="3954" w:type="dxa"/>
            <w:shd w:val="clear" w:color="auto" w:fill="auto"/>
            <w:vAlign w:val="center"/>
          </w:tcPr>
          <w:p>
            <w:pPr>
              <w:widowControl/>
              <w:jc w:val="lef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858" w:type="dxa"/>
            <w:shd w:val="clear" w:color="auto" w:fill="auto"/>
            <w:vAlign w:val="center"/>
          </w:tcPr>
          <w:p>
            <w:pPr>
              <w:widowControl/>
              <w:jc w:val="left"/>
              <w:rPr>
                <w:rFonts w:ascii="仿宋" w:hAnsi="仿宋" w:eastAsia="仿宋"/>
                <w:sz w:val="24"/>
                <w:szCs w:val="24"/>
              </w:rPr>
            </w:pPr>
          </w:p>
        </w:tc>
        <w:tc>
          <w:tcPr>
            <w:tcW w:w="1924" w:type="dxa"/>
            <w:shd w:val="clear" w:color="auto" w:fill="auto"/>
            <w:vAlign w:val="center"/>
          </w:tcPr>
          <w:p>
            <w:pPr>
              <w:widowControl/>
              <w:jc w:val="left"/>
              <w:rPr>
                <w:rFonts w:ascii="仿宋" w:hAnsi="仿宋" w:eastAsia="仿宋"/>
                <w:sz w:val="24"/>
                <w:szCs w:val="24"/>
              </w:rPr>
            </w:pPr>
          </w:p>
        </w:tc>
        <w:tc>
          <w:tcPr>
            <w:tcW w:w="1583" w:type="dxa"/>
            <w:shd w:val="clear" w:color="auto" w:fill="auto"/>
            <w:vAlign w:val="center"/>
          </w:tcPr>
          <w:p>
            <w:pPr>
              <w:widowControl/>
              <w:jc w:val="left"/>
              <w:rPr>
                <w:rFonts w:ascii="仿宋" w:hAnsi="仿宋" w:eastAsia="仿宋"/>
                <w:sz w:val="24"/>
                <w:szCs w:val="24"/>
              </w:rPr>
            </w:pPr>
          </w:p>
        </w:tc>
        <w:tc>
          <w:tcPr>
            <w:tcW w:w="3954" w:type="dxa"/>
            <w:shd w:val="clear" w:color="auto" w:fill="auto"/>
            <w:vAlign w:val="center"/>
          </w:tcPr>
          <w:p>
            <w:pPr>
              <w:widowControl/>
              <w:jc w:val="lef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858" w:type="dxa"/>
            <w:shd w:val="clear" w:color="auto" w:fill="auto"/>
            <w:vAlign w:val="center"/>
          </w:tcPr>
          <w:p>
            <w:pPr>
              <w:widowControl/>
              <w:jc w:val="left"/>
              <w:rPr>
                <w:rFonts w:ascii="仿宋" w:hAnsi="仿宋" w:eastAsia="仿宋"/>
                <w:sz w:val="24"/>
                <w:szCs w:val="24"/>
              </w:rPr>
            </w:pPr>
          </w:p>
        </w:tc>
        <w:tc>
          <w:tcPr>
            <w:tcW w:w="1924" w:type="dxa"/>
            <w:shd w:val="clear" w:color="auto" w:fill="auto"/>
            <w:vAlign w:val="center"/>
          </w:tcPr>
          <w:p>
            <w:pPr>
              <w:widowControl/>
              <w:jc w:val="left"/>
              <w:rPr>
                <w:rFonts w:ascii="仿宋" w:hAnsi="仿宋" w:eastAsia="仿宋"/>
                <w:sz w:val="24"/>
                <w:szCs w:val="24"/>
              </w:rPr>
            </w:pPr>
          </w:p>
        </w:tc>
        <w:tc>
          <w:tcPr>
            <w:tcW w:w="1583" w:type="dxa"/>
            <w:shd w:val="clear" w:color="auto" w:fill="auto"/>
            <w:vAlign w:val="center"/>
          </w:tcPr>
          <w:p>
            <w:pPr>
              <w:widowControl/>
              <w:jc w:val="left"/>
              <w:rPr>
                <w:rFonts w:ascii="仿宋" w:hAnsi="仿宋" w:eastAsia="仿宋"/>
                <w:sz w:val="24"/>
                <w:szCs w:val="24"/>
              </w:rPr>
            </w:pPr>
          </w:p>
        </w:tc>
        <w:tc>
          <w:tcPr>
            <w:tcW w:w="3954" w:type="dxa"/>
            <w:shd w:val="clear" w:color="auto" w:fill="auto"/>
            <w:vAlign w:val="center"/>
          </w:tcPr>
          <w:p>
            <w:pPr>
              <w:widowControl/>
              <w:jc w:val="left"/>
              <w:rPr>
                <w:rFonts w:ascii="仿宋" w:hAnsi="仿宋" w:eastAsia="仿宋"/>
                <w:sz w:val="24"/>
                <w:szCs w:val="24"/>
              </w:rPr>
            </w:pPr>
          </w:p>
        </w:tc>
      </w:tr>
    </w:tbl>
    <w:p>
      <w:pPr>
        <w:spacing w:line="600" w:lineRule="exact"/>
        <w:rPr>
          <w:rFonts w:hint="eastAsia" w:ascii="仿宋_GB2312" w:hAnsi="仿宋_GB2312" w:cs="仿宋_GB2312"/>
          <w:szCs w:val="32"/>
        </w:rPr>
      </w:pPr>
    </w:p>
    <w:p>
      <w:pPr>
        <w:numPr>
          <w:ilvl w:val="0"/>
          <w:numId w:val="7"/>
        </w:numPr>
        <w:spacing w:line="600" w:lineRule="exact"/>
        <w:rPr>
          <w:rFonts w:ascii="仿宋_GB2312" w:hAnsi="仿宋_GB2312" w:cs="仿宋_GB2312"/>
          <w:szCs w:val="32"/>
        </w:rPr>
      </w:pPr>
      <w:r>
        <w:rPr>
          <w:rFonts w:hint="eastAsia" w:ascii="仿宋_GB2312" w:hAnsi="仿宋_GB2312" w:cs="仿宋_GB2312"/>
          <w:szCs w:val="32"/>
        </w:rPr>
        <w:t>标准规范清单</w:t>
      </w:r>
    </w:p>
    <w:tbl>
      <w:tblPr>
        <w:tblStyle w:val="14"/>
        <w:tblW w:w="784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
        <w:gridCol w:w="1985"/>
        <w:gridCol w:w="1478"/>
        <w:gridCol w:w="1738"/>
        <w:gridCol w:w="1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0" w:hRule="atLeast"/>
          <w:tblHeader/>
          <w:jc w:val="center"/>
        </w:trPr>
        <w:tc>
          <w:tcPr>
            <w:tcW w:w="902" w:type="dxa"/>
            <w:shd w:val="clear" w:color="auto" w:fill="auto"/>
            <w:vAlign w:val="center"/>
          </w:tcPr>
          <w:p>
            <w:pPr>
              <w:widowControl/>
              <w:jc w:val="left"/>
              <w:rPr>
                <w:rFonts w:ascii="宋体" w:hAnsi="Calibri" w:eastAsia="宋体"/>
                <w:b/>
                <w:bCs/>
                <w:sz w:val="28"/>
                <w:szCs w:val="28"/>
              </w:rPr>
            </w:pPr>
            <w:r>
              <w:rPr>
                <w:rFonts w:hint="eastAsia" w:ascii="宋体" w:hAnsi="Calibri" w:eastAsia="宋体"/>
                <w:b/>
                <w:bCs/>
                <w:sz w:val="28"/>
                <w:szCs w:val="28"/>
              </w:rPr>
              <w:t>序号</w:t>
            </w:r>
          </w:p>
        </w:tc>
        <w:tc>
          <w:tcPr>
            <w:tcW w:w="1985" w:type="dxa"/>
            <w:shd w:val="clear" w:color="auto" w:fill="auto"/>
            <w:vAlign w:val="center"/>
          </w:tcPr>
          <w:p>
            <w:pPr>
              <w:widowControl/>
              <w:jc w:val="left"/>
              <w:rPr>
                <w:rFonts w:ascii="宋体" w:hAnsi="Calibri" w:eastAsia="宋体"/>
                <w:b/>
                <w:bCs/>
                <w:sz w:val="28"/>
                <w:szCs w:val="28"/>
              </w:rPr>
            </w:pPr>
            <w:r>
              <w:rPr>
                <w:rFonts w:hint="eastAsia" w:ascii="宋体" w:hAnsi="Calibri" w:eastAsia="宋体"/>
                <w:b/>
                <w:bCs/>
                <w:sz w:val="28"/>
                <w:szCs w:val="28"/>
              </w:rPr>
              <w:t>标准规范名称</w:t>
            </w:r>
          </w:p>
        </w:tc>
        <w:tc>
          <w:tcPr>
            <w:tcW w:w="1478" w:type="dxa"/>
            <w:shd w:val="clear" w:color="auto" w:fill="auto"/>
            <w:vAlign w:val="center"/>
          </w:tcPr>
          <w:p>
            <w:pPr>
              <w:widowControl/>
              <w:jc w:val="left"/>
              <w:rPr>
                <w:rFonts w:ascii="宋体" w:hAnsi="Calibri" w:eastAsia="宋体"/>
                <w:b/>
                <w:bCs/>
                <w:sz w:val="28"/>
                <w:szCs w:val="28"/>
              </w:rPr>
            </w:pPr>
            <w:r>
              <w:rPr>
                <w:rFonts w:hint="eastAsia" w:ascii="宋体" w:hAnsi="Calibri" w:eastAsia="宋体"/>
                <w:b/>
                <w:bCs/>
                <w:sz w:val="28"/>
                <w:szCs w:val="28"/>
              </w:rPr>
              <w:t>主题内容</w:t>
            </w:r>
          </w:p>
        </w:tc>
        <w:tc>
          <w:tcPr>
            <w:tcW w:w="1738" w:type="dxa"/>
            <w:shd w:val="clear" w:color="auto" w:fill="auto"/>
            <w:vAlign w:val="center"/>
          </w:tcPr>
          <w:p>
            <w:pPr>
              <w:widowControl/>
              <w:jc w:val="left"/>
              <w:rPr>
                <w:rFonts w:ascii="宋体" w:hAnsi="Calibri" w:eastAsia="宋体"/>
                <w:b/>
                <w:bCs/>
                <w:sz w:val="28"/>
                <w:szCs w:val="28"/>
              </w:rPr>
            </w:pPr>
            <w:r>
              <w:rPr>
                <w:rFonts w:hint="eastAsia" w:ascii="宋体" w:hAnsi="Calibri" w:eastAsia="宋体"/>
                <w:b/>
                <w:bCs/>
                <w:sz w:val="28"/>
                <w:szCs w:val="28"/>
              </w:rPr>
              <w:t>简要说明</w:t>
            </w:r>
          </w:p>
        </w:tc>
        <w:tc>
          <w:tcPr>
            <w:tcW w:w="1738" w:type="dxa"/>
            <w:vAlign w:val="center"/>
          </w:tcPr>
          <w:p>
            <w:pPr>
              <w:widowControl/>
              <w:jc w:val="left"/>
              <w:rPr>
                <w:rFonts w:ascii="宋体" w:hAnsi="Calibri" w:eastAsia="宋体"/>
                <w:b/>
                <w:bCs/>
                <w:sz w:val="28"/>
                <w:szCs w:val="28"/>
              </w:rPr>
            </w:pPr>
            <w:r>
              <w:rPr>
                <w:rFonts w:hint="eastAsia" w:ascii="宋体" w:hAnsi="Calibri" w:eastAsia="宋体"/>
                <w:b/>
                <w:bCs/>
                <w:sz w:val="28"/>
                <w:szCs w:val="28"/>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jc w:val="center"/>
        </w:trPr>
        <w:tc>
          <w:tcPr>
            <w:tcW w:w="902" w:type="dxa"/>
            <w:shd w:val="clear" w:color="auto" w:fill="auto"/>
            <w:vAlign w:val="center"/>
          </w:tcPr>
          <w:p>
            <w:pPr>
              <w:widowControl/>
              <w:jc w:val="left"/>
              <w:rPr>
                <w:rFonts w:ascii="仿宋" w:hAnsi="仿宋" w:eastAsia="仿宋"/>
                <w:sz w:val="24"/>
                <w:szCs w:val="24"/>
              </w:rPr>
            </w:pPr>
          </w:p>
        </w:tc>
        <w:tc>
          <w:tcPr>
            <w:tcW w:w="1985" w:type="dxa"/>
            <w:shd w:val="clear" w:color="auto" w:fill="auto"/>
            <w:vAlign w:val="center"/>
          </w:tcPr>
          <w:p>
            <w:pPr>
              <w:widowControl/>
              <w:jc w:val="left"/>
              <w:rPr>
                <w:rFonts w:ascii="仿宋" w:hAnsi="仿宋" w:eastAsia="仿宋"/>
                <w:sz w:val="24"/>
                <w:szCs w:val="24"/>
              </w:rPr>
            </w:pPr>
          </w:p>
        </w:tc>
        <w:tc>
          <w:tcPr>
            <w:tcW w:w="1478" w:type="dxa"/>
            <w:shd w:val="clear" w:color="auto" w:fill="auto"/>
            <w:vAlign w:val="center"/>
          </w:tcPr>
          <w:p>
            <w:pPr>
              <w:widowControl/>
              <w:jc w:val="left"/>
              <w:rPr>
                <w:rFonts w:ascii="仿宋" w:hAnsi="仿宋" w:eastAsia="仿宋"/>
                <w:sz w:val="24"/>
                <w:szCs w:val="24"/>
              </w:rPr>
            </w:pPr>
          </w:p>
        </w:tc>
        <w:tc>
          <w:tcPr>
            <w:tcW w:w="1738" w:type="dxa"/>
            <w:shd w:val="clear" w:color="auto" w:fill="auto"/>
            <w:vAlign w:val="center"/>
          </w:tcPr>
          <w:p>
            <w:pPr>
              <w:widowControl/>
              <w:jc w:val="left"/>
              <w:rPr>
                <w:rFonts w:ascii="仿宋" w:hAnsi="仿宋" w:eastAsia="仿宋"/>
                <w:sz w:val="24"/>
                <w:szCs w:val="24"/>
              </w:rPr>
            </w:pPr>
          </w:p>
        </w:tc>
        <w:tc>
          <w:tcPr>
            <w:tcW w:w="1738" w:type="dxa"/>
            <w:vAlign w:val="top"/>
          </w:tcPr>
          <w:p>
            <w:pPr>
              <w:widowControl/>
              <w:jc w:val="lef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902" w:type="dxa"/>
            <w:shd w:val="clear" w:color="auto" w:fill="auto"/>
            <w:vAlign w:val="center"/>
          </w:tcPr>
          <w:p>
            <w:pPr>
              <w:widowControl/>
              <w:jc w:val="left"/>
              <w:rPr>
                <w:rFonts w:ascii="仿宋" w:hAnsi="仿宋" w:eastAsia="仿宋"/>
                <w:sz w:val="24"/>
                <w:szCs w:val="24"/>
              </w:rPr>
            </w:pPr>
          </w:p>
        </w:tc>
        <w:tc>
          <w:tcPr>
            <w:tcW w:w="1985" w:type="dxa"/>
            <w:shd w:val="clear" w:color="auto" w:fill="auto"/>
            <w:vAlign w:val="center"/>
          </w:tcPr>
          <w:p>
            <w:pPr>
              <w:widowControl/>
              <w:jc w:val="left"/>
              <w:rPr>
                <w:rFonts w:ascii="仿宋" w:hAnsi="仿宋" w:eastAsia="仿宋"/>
                <w:sz w:val="24"/>
                <w:szCs w:val="24"/>
              </w:rPr>
            </w:pPr>
          </w:p>
        </w:tc>
        <w:tc>
          <w:tcPr>
            <w:tcW w:w="1478" w:type="dxa"/>
            <w:shd w:val="clear" w:color="auto" w:fill="auto"/>
            <w:vAlign w:val="center"/>
          </w:tcPr>
          <w:p>
            <w:pPr>
              <w:widowControl/>
              <w:jc w:val="left"/>
              <w:rPr>
                <w:rFonts w:ascii="仿宋" w:hAnsi="仿宋" w:eastAsia="仿宋"/>
                <w:sz w:val="24"/>
                <w:szCs w:val="24"/>
              </w:rPr>
            </w:pPr>
          </w:p>
        </w:tc>
        <w:tc>
          <w:tcPr>
            <w:tcW w:w="1738" w:type="dxa"/>
            <w:shd w:val="clear" w:color="auto" w:fill="auto"/>
            <w:vAlign w:val="center"/>
          </w:tcPr>
          <w:p>
            <w:pPr>
              <w:widowControl/>
              <w:jc w:val="left"/>
              <w:rPr>
                <w:rFonts w:ascii="仿宋" w:hAnsi="仿宋" w:eastAsia="仿宋"/>
                <w:sz w:val="24"/>
                <w:szCs w:val="24"/>
              </w:rPr>
            </w:pPr>
          </w:p>
        </w:tc>
        <w:tc>
          <w:tcPr>
            <w:tcW w:w="1738" w:type="dxa"/>
            <w:vAlign w:val="top"/>
          </w:tcPr>
          <w:p>
            <w:pPr>
              <w:widowControl/>
              <w:jc w:val="left"/>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center"/>
        </w:trPr>
        <w:tc>
          <w:tcPr>
            <w:tcW w:w="902" w:type="dxa"/>
            <w:shd w:val="clear" w:color="auto" w:fill="auto"/>
            <w:vAlign w:val="center"/>
          </w:tcPr>
          <w:p>
            <w:pPr>
              <w:widowControl/>
              <w:jc w:val="left"/>
              <w:rPr>
                <w:rFonts w:ascii="仿宋" w:hAnsi="仿宋" w:eastAsia="仿宋"/>
                <w:sz w:val="24"/>
                <w:szCs w:val="24"/>
              </w:rPr>
            </w:pPr>
          </w:p>
        </w:tc>
        <w:tc>
          <w:tcPr>
            <w:tcW w:w="1985" w:type="dxa"/>
            <w:shd w:val="clear" w:color="auto" w:fill="auto"/>
            <w:vAlign w:val="center"/>
          </w:tcPr>
          <w:p>
            <w:pPr>
              <w:widowControl/>
              <w:jc w:val="left"/>
              <w:rPr>
                <w:rFonts w:ascii="仿宋" w:hAnsi="仿宋" w:eastAsia="仿宋"/>
                <w:sz w:val="24"/>
                <w:szCs w:val="24"/>
              </w:rPr>
            </w:pPr>
          </w:p>
        </w:tc>
        <w:tc>
          <w:tcPr>
            <w:tcW w:w="1478" w:type="dxa"/>
            <w:shd w:val="clear" w:color="auto" w:fill="auto"/>
            <w:vAlign w:val="center"/>
          </w:tcPr>
          <w:p>
            <w:pPr>
              <w:widowControl/>
              <w:jc w:val="left"/>
              <w:rPr>
                <w:rFonts w:ascii="仿宋" w:hAnsi="仿宋" w:eastAsia="仿宋"/>
                <w:sz w:val="24"/>
                <w:szCs w:val="24"/>
              </w:rPr>
            </w:pPr>
          </w:p>
        </w:tc>
        <w:tc>
          <w:tcPr>
            <w:tcW w:w="1738" w:type="dxa"/>
            <w:shd w:val="clear" w:color="auto" w:fill="auto"/>
            <w:vAlign w:val="center"/>
          </w:tcPr>
          <w:p>
            <w:pPr>
              <w:widowControl/>
              <w:jc w:val="left"/>
              <w:rPr>
                <w:rFonts w:ascii="仿宋" w:hAnsi="仿宋" w:eastAsia="仿宋"/>
                <w:sz w:val="24"/>
                <w:szCs w:val="24"/>
              </w:rPr>
            </w:pPr>
          </w:p>
        </w:tc>
        <w:tc>
          <w:tcPr>
            <w:tcW w:w="1738" w:type="dxa"/>
            <w:vAlign w:val="top"/>
          </w:tcPr>
          <w:p>
            <w:pPr>
              <w:widowControl/>
              <w:jc w:val="left"/>
              <w:rPr>
                <w:rFonts w:ascii="仿宋" w:hAnsi="仿宋" w:eastAsia="仿宋"/>
                <w:sz w:val="24"/>
                <w:szCs w:val="24"/>
              </w:rPr>
            </w:pPr>
          </w:p>
        </w:tc>
      </w:tr>
    </w:tbl>
    <w:p>
      <w:pPr>
        <w:pStyle w:val="19"/>
        <w:ind w:firstLine="640"/>
        <w:rPr>
          <w:rFonts w:hint="eastAsia" w:ascii="仿宋_GB2312" w:hAnsi="仿宋_GB2312" w:cs="仿宋_GB2312"/>
          <w:szCs w:val="32"/>
        </w:rPr>
      </w:pPr>
    </w:p>
    <w:p>
      <w:pPr>
        <w:spacing w:line="600" w:lineRule="exact"/>
        <w:ind w:firstLine="640" w:firstLineChars="200"/>
        <w:rPr>
          <w:rFonts w:ascii="仿宋_GB2312" w:hAnsi="仿宋_GB2312" w:cs="仿宋_GB2312"/>
          <w:szCs w:val="32"/>
        </w:rPr>
      </w:pPr>
      <w:r>
        <w:rPr>
          <w:rFonts w:hint="eastAsia" w:ascii="仿宋_GB2312" w:hAnsi="仿宋_GB2312" w:cs="仿宋_GB2312"/>
          <w:szCs w:val="32"/>
        </w:rPr>
        <w:t>（二）典型应用案例</w:t>
      </w:r>
    </w:p>
    <w:p>
      <w:pPr>
        <w:spacing w:line="600" w:lineRule="exact"/>
        <w:ind w:firstLine="640" w:firstLineChars="200"/>
        <w:rPr>
          <w:rFonts w:hint="eastAsia" w:ascii="仿宋_GB2312" w:hAnsi="仿宋_GB2312" w:cs="仿宋_GB2312"/>
          <w:szCs w:val="32"/>
        </w:rPr>
      </w:pPr>
      <w:r>
        <w:rPr>
          <w:rFonts w:hint="eastAsia" w:ascii="仿宋_GB2312" w:hAnsi="仿宋_GB2312" w:cs="仿宋_GB2312"/>
          <w:szCs w:val="32"/>
        </w:rPr>
        <w:t>按照应用领域，列举高分卫星应用的“鲜活”案例，写作要求如下：</w:t>
      </w:r>
    </w:p>
    <w:p>
      <w:pPr>
        <w:spacing w:line="600" w:lineRule="exact"/>
        <w:ind w:firstLine="640" w:firstLineChars="200"/>
        <w:rPr>
          <w:rFonts w:hint="eastAsia" w:ascii="仿宋_GB2312" w:hAnsi="仿宋_GB2312" w:cs="仿宋_GB2312"/>
          <w:szCs w:val="32"/>
        </w:rPr>
      </w:pPr>
      <w:r>
        <w:rPr>
          <w:rFonts w:hint="eastAsia" w:ascii="仿宋_GB2312" w:hAnsi="仿宋_GB2312" w:cs="仿宋_GB2312"/>
          <w:szCs w:val="32"/>
        </w:rPr>
        <w:t>三级标题以应用子领域命名，针对每个应用子领域，先有一个宏观的总体表述（300字左右），进而结合具体的专题图，对该应用子领域的专题图进行解释说明。</w:t>
      </w:r>
    </w:p>
    <w:p>
      <w:pPr>
        <w:spacing w:line="600" w:lineRule="exact"/>
        <w:ind w:firstLine="640" w:firstLineChars="200"/>
        <w:rPr>
          <w:rFonts w:hint="eastAsia" w:ascii="仿宋_GB2312" w:hAnsi="仿宋_GB2312" w:cs="仿宋_GB2312"/>
          <w:szCs w:val="32"/>
        </w:rPr>
      </w:pPr>
      <w:r>
        <w:rPr>
          <w:rFonts w:hint="eastAsia" w:ascii="仿宋_GB2312" w:hAnsi="仿宋_GB2312" w:cs="仿宋_GB2312"/>
          <w:szCs w:val="32"/>
        </w:rPr>
        <w:t>总体表述应当包括：时间段、使用的数据产品、监测的要素、生产的专题产品类别和数量、支撑的业务单位、取得的效益（支撑决策、提供服务或提升业务水平）、达到的精度等。</w:t>
      </w:r>
    </w:p>
    <w:p>
      <w:pPr>
        <w:spacing w:line="600" w:lineRule="exact"/>
        <w:ind w:firstLine="640" w:firstLineChars="200"/>
        <w:rPr>
          <w:rFonts w:ascii="仿宋_GB2312" w:hAnsi="仿宋_GB2312" w:cs="仿宋_GB2312"/>
          <w:szCs w:val="32"/>
        </w:rPr>
      </w:pPr>
      <w:r>
        <w:rPr>
          <w:rFonts w:hint="eastAsia" w:ascii="仿宋_GB2312" w:hAnsi="仿宋_GB2312" w:cs="仿宋_GB2312"/>
          <w:szCs w:val="32"/>
        </w:rPr>
        <w:t>在总体表述后配不少于1个典型专题产品图和对图的解释说明，要求遴选最能体现行业国家层面应用和地方综合应用的案例和专题产品图进入报告。图的命名上，按照“基于+影像名称+专题图名（时间）的命名规则”。</w:t>
      </w:r>
    </w:p>
    <w:p>
      <w:pPr>
        <w:spacing w:line="600" w:lineRule="exact"/>
        <w:rPr>
          <w:rFonts w:ascii="仿宋_GB2312" w:hAnsi="仿宋_GB2312" w:cs="仿宋_GB2312"/>
          <w:b/>
          <w:szCs w:val="32"/>
        </w:rPr>
      </w:pPr>
      <w:r>
        <w:rPr>
          <w:rFonts w:hint="eastAsia" w:ascii="仿宋_GB2312" w:hAnsi="仿宋_GB2312" w:cs="仿宋_GB2312"/>
          <w:b/>
          <w:szCs w:val="32"/>
        </w:rPr>
        <w:t>范例：</w:t>
      </w:r>
    </w:p>
    <w:p>
      <w:pPr>
        <w:pStyle w:val="4"/>
        <w:numPr>
          <w:ilvl w:val="0"/>
          <w:numId w:val="8"/>
        </w:numPr>
        <w:spacing w:before="120" w:after="120" w:line="360" w:lineRule="auto"/>
        <w:jc w:val="left"/>
        <w:rPr>
          <w:rFonts w:eastAsia="宋体"/>
        </w:rPr>
      </w:pPr>
      <w:r>
        <w:rPr>
          <w:rFonts w:hint="eastAsia" w:eastAsia="宋体"/>
        </w:rPr>
        <w:t>气象水文监测</w:t>
      </w:r>
    </w:p>
    <w:p>
      <w:pPr>
        <w:spacing w:line="600" w:lineRule="exact"/>
        <w:ind w:firstLine="640" w:firstLineChars="200"/>
        <w:jc w:val="left"/>
        <w:rPr>
          <w:rFonts w:ascii="仿宋_GB2312" w:hAnsi="仿宋_GB2312" w:cs="仿宋_GB2312"/>
          <w:szCs w:val="32"/>
        </w:rPr>
      </w:pPr>
      <w:r>
        <w:rPr>
          <w:rFonts w:ascii="仿宋_GB2312" w:hAnsi="仿宋_GB2312" w:cs="仿宋_GB2312"/>
          <w:szCs w:val="32"/>
        </w:rPr>
        <w:t>2016年</w:t>
      </w:r>
      <w:r>
        <w:rPr>
          <w:rFonts w:hint="eastAsia" w:ascii="仿宋_GB2312" w:hAnsi="仿宋_GB2312" w:cs="仿宋_GB2312"/>
          <w:szCs w:val="32"/>
        </w:rPr>
        <w:t>7月底，针对4号台风“妮妲”，国家卫星气象中心申请启动GF-4号观测，利用GF-4资料制作了高清云图动画和服务分析材料，第一时间提供给中央气象台和国家减灾委，为台风的监测、影响评估等提供了重要的数据支撑。相对气象卫星，由于兼具高空间分辨率和高时间分辨，可以清晰观测到台风眼区结构及其变化并精确评估台风影响区域，精度达到10km级，支撑决策少转移50万人，极大地减</w:t>
      </w:r>
      <w:r>
        <w:rPr>
          <w:sz w:val="24"/>
          <w:szCs w:val="28"/>
        </w:rPr>
        <mc:AlternateContent>
          <mc:Choice Requires="wps">
            <w:drawing>
              <wp:anchor distT="0" distB="0" distL="114300" distR="114300" simplePos="0" relativeHeight="251658240" behindDoc="0" locked="0" layoutInCell="1" allowOverlap="1">
                <wp:simplePos x="0" y="0"/>
                <wp:positionH relativeFrom="column">
                  <wp:posOffset>4208145</wp:posOffset>
                </wp:positionH>
                <wp:positionV relativeFrom="paragraph">
                  <wp:posOffset>2447925</wp:posOffset>
                </wp:positionV>
                <wp:extent cx="330200" cy="1099820"/>
                <wp:effectExtent l="0" t="0" r="0" b="0"/>
                <wp:wrapNone/>
                <wp:docPr id="2" name="文本框 2"/>
                <wp:cNvGraphicFramePr/>
                <a:graphic xmlns:a="http://schemas.openxmlformats.org/drawingml/2006/main">
                  <a:graphicData uri="http://schemas.microsoft.com/office/word/2010/wordprocessingShape">
                    <wps:wsp>
                      <wps:cNvSpPr txBox="1"/>
                      <wps:spPr>
                        <a:xfrm>
                          <a:off x="0" y="0"/>
                          <a:ext cx="330200" cy="1099820"/>
                        </a:xfrm>
                        <a:prstGeom prst="rect">
                          <a:avLst/>
                        </a:prstGeom>
                        <a:noFill/>
                        <a:ln w="9525">
                          <a:noFill/>
                        </a:ln>
                      </wps:spPr>
                      <wps:txbx>
                        <w:txbxContent>
                          <w:p>
                            <w:pPr>
                              <w:pStyle w:val="11"/>
                              <w:kinsoku w:val="0"/>
                              <w:overflowPunct w:val="0"/>
                              <w:spacing w:before="0" w:beforeAutospacing="0" w:after="0" w:afterAutospacing="0"/>
                              <w:textAlignment w:val="baseline"/>
                            </w:pPr>
                            <w:r>
                              <w:rPr>
                                <w:rFonts w:hint="eastAsia" w:ascii="楷体" w:hAnsi="楷体" w:eastAsia="楷体" w:cs="Times New Roman"/>
                                <w:b/>
                                <w:bCs/>
                                <w:color w:val="FFFFFF"/>
                                <w:kern w:val="24"/>
                                <w:sz w:val="56"/>
                                <w:szCs w:val="56"/>
                              </w:rPr>
                              <w:t>台湾省</w:t>
                            </w:r>
                          </w:p>
                        </w:txbxContent>
                      </wps:txbx>
                      <wps:bodyPr upright="1"/>
                    </wps:wsp>
                  </a:graphicData>
                </a:graphic>
              </wp:anchor>
            </w:drawing>
          </mc:Choice>
          <mc:Fallback>
            <w:pict>
              <v:shape id="_x0000_s1026" o:spid="_x0000_s1026" o:spt="202" type="#_x0000_t202" style="position:absolute;left:0pt;margin-left:331.35pt;margin-top:192.75pt;height:86.6pt;width:26pt;z-index:25165824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">
                <v:path/>
                <v:fill on="f" focussize="0,0"/>
                <v:stroke on="f"/>
                <v:imagedata o:title=""/>
                <o:lock v:ext="edit"/>
                <v:textbox>
                  <w:txbxContent>
                    <w:p>
                      <w:pPr>
                        <w:pStyle w:val="11"/>
                        <w:kinsoku w:val="0"/>
                        <w:overflowPunct w:val="0"/>
                        <w:spacing w:before="0" w:beforeAutospacing="0" w:after="0" w:afterAutospacing="0"/>
                        <w:textAlignment w:val="baseline"/>
                      </w:pPr>
                      <w:r>
                        <w:rPr>
                          <w:rFonts w:hint="eastAsia" w:ascii="楷体" w:hAnsi="楷体" w:eastAsia="楷体" w:cs="Times New Roman"/>
                          <w:b/>
                          <w:bCs/>
                          <w:color w:val="FFFFFF"/>
                          <w:kern w:val="24"/>
                          <w:sz w:val="56"/>
                          <w:szCs w:val="56"/>
                        </w:rPr>
                        <w:t>台湾省</w:t>
                      </w:r>
                    </w:p>
                  </w:txbxContent>
                </v:textbox>
              </v:shape>
            </w:pict>
          </mc:Fallback>
        </mc:AlternateContent>
      </w:r>
      <w:r>
        <w:rPr>
          <w:rFonts w:hint="eastAsia" w:ascii="仿宋_GB2312" w:hAnsi="仿宋_GB2312" w:cs="仿宋_GB2312"/>
          <w:szCs w:val="32"/>
        </w:rPr>
        <w:t>少了防灾减灾成本。</w:t>
      </w:r>
    </w:p>
    <w:p>
      <w:pPr>
        <w:spacing w:line="240" w:lineRule="auto"/>
        <w:jc w:val="center"/>
        <w:rPr>
          <w:rFonts w:hint="eastAsia" w:ascii="仿宋_GB2312" w:hAnsi="仿宋_GB2312" w:cs="仿宋_GB2312"/>
          <w:szCs w:val="32"/>
        </w:rPr>
      </w:pPr>
      <w:r>
        <w:rPr>
          <w:rFonts w:hint="eastAsia" w:ascii="仿宋_GB2312" w:hAnsi="仿宋_GB2312" w:cs="仿宋_GB2312"/>
          <w:szCs w:val="32"/>
        </w:rPr>
        <w:drawing>
          <wp:inline distT="0" distB="0" distL="114300" distR="114300">
            <wp:extent cx="3235325" cy="3235325"/>
            <wp:effectExtent l="0" t="0" r="10795" b="10795"/>
            <wp:docPr id="1"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图片1"/>
                    <pic:cNvPicPr>
                      <a:picLocks noChangeAspect="1"/>
                    </pic:cNvPicPr>
                  </pic:nvPicPr>
                  <pic:blipFill>
                    <a:blip r:embed="rId10"/>
                    <a:stretch>
                      <a:fillRect/>
                    </a:stretch>
                  </pic:blipFill>
                  <pic:spPr>
                    <a:xfrm>
                      <a:off x="0" y="0"/>
                      <a:ext cx="3235325" cy="3235325"/>
                    </a:xfrm>
                    <a:prstGeom prst="rect">
                      <a:avLst/>
                    </a:prstGeom>
                    <a:noFill/>
                    <a:ln w="9525">
                      <a:noFill/>
                    </a:ln>
                  </pic:spPr>
                </pic:pic>
              </a:graphicData>
            </a:graphic>
          </wp:inline>
        </w:drawing>
      </w:r>
    </w:p>
    <w:p>
      <w:pPr>
        <w:spacing w:line="240" w:lineRule="auto"/>
        <w:jc w:val="center"/>
        <w:rPr>
          <w:b/>
          <w:sz w:val="28"/>
        </w:rPr>
      </w:pPr>
      <w:r>
        <w:rPr>
          <w:rFonts w:hint="eastAsia"/>
          <w:b/>
          <w:sz w:val="28"/>
        </w:rPr>
        <w:t>图</w:t>
      </w:r>
      <w:r>
        <w:rPr>
          <w:b/>
          <w:sz w:val="28"/>
        </w:rPr>
        <w:t xml:space="preserve">4 </w:t>
      </w:r>
      <w:r>
        <w:rPr>
          <w:rFonts w:hint="eastAsia"/>
          <w:b/>
          <w:sz w:val="28"/>
        </w:rPr>
        <w:t>基于</w:t>
      </w:r>
      <w:r>
        <w:rPr>
          <w:b/>
          <w:sz w:val="28"/>
        </w:rPr>
        <w:t>GF-4卫星的台风妮妲观测高清云图</w:t>
      </w:r>
      <w:r>
        <w:rPr>
          <w:rFonts w:hint="eastAsia"/>
          <w:b/>
          <w:sz w:val="28"/>
        </w:rPr>
        <w:t>（2016）</w:t>
      </w:r>
    </w:p>
    <w:p>
      <w:pPr>
        <w:spacing w:line="600" w:lineRule="exact"/>
        <w:ind w:firstLine="640" w:firstLineChars="200"/>
        <w:jc w:val="left"/>
        <w:rPr>
          <w:rFonts w:ascii="仿宋_GB2312" w:hAnsi="仿宋_GB2312" w:cs="仿宋_GB2312"/>
          <w:szCs w:val="32"/>
        </w:rPr>
      </w:pPr>
      <w:r>
        <w:rPr>
          <w:rFonts w:ascii="仿宋_GB2312" w:hAnsi="仿宋_GB2312" w:cs="仿宋_GB2312"/>
          <w:szCs w:val="32"/>
        </w:rPr>
        <w:t>图中可以看出</w:t>
      </w:r>
      <w:r>
        <w:rPr>
          <w:rFonts w:hint="eastAsia" w:ascii="仿宋_GB2312" w:hAnsi="仿宋_GB2312" w:cs="仿宋_GB2312"/>
          <w:szCs w:val="32"/>
        </w:rPr>
        <w:t>，台风眼区较大，从眼区结构可以看出，台风通过城市时，眼区是少云区，雨量会较小，如果市区处于图中眼外围的强对流云带，风雨会很大。这与台风通过深圳、佛山的实际情况吻合。</w:t>
      </w:r>
    </w:p>
    <w:p>
      <w:pPr>
        <w:spacing w:line="600" w:lineRule="exact"/>
        <w:rPr>
          <w:rFonts w:hint="eastAsia" w:ascii="仿宋_GB2312" w:hAnsi="仿宋_GB2312" w:cs="仿宋_GB2312"/>
          <w:szCs w:val="32"/>
        </w:rPr>
      </w:pPr>
    </w:p>
    <w:p>
      <w:pPr>
        <w:pStyle w:val="2"/>
      </w:pPr>
      <w:r>
        <w:t>关键技术突破及应用系统建设情况</w:t>
      </w:r>
    </w:p>
    <w:p>
      <w:r>
        <w:rPr>
          <w:rFonts w:hint="eastAsia" w:ascii="仿宋_GB2312" w:hAnsi="仿宋_GB2312" w:cs="仿宋_GB2312"/>
          <w:i/>
          <w:szCs w:val="32"/>
        </w:rPr>
        <w:t>参照高分应用示范系统批复要求，列明突破的关键技术清单，应用系统要有主要操作界面和对界面的文字说明。</w:t>
      </w:r>
    </w:p>
    <w:sectPr>
      <w:type w:val="oddPage"/>
      <w:pgSz w:w="11906" w:h="16838"/>
      <w:pgMar w:top="1701" w:right="1247" w:bottom="1701" w:left="1361" w:header="851" w:footer="992" w:gutter="283"/>
      <w:pgNumType w:fmt="numberInDash"/>
      <w:cols w:space="0" w:num="1"/>
      <w:titlePg/>
      <w:docGrid w:type="lines" w:linePitch="32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宋">
    <w:altName w:val="宋体"/>
    <w:panose1 w:val="00000000000000000000"/>
    <w:charset w:val="00"/>
    <w:family w:val="auto"/>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创艺简标宋">
    <w:altName w:val="方正舒体"/>
    <w:panose1 w:val="00000000000000000000"/>
    <w:charset w:val="86"/>
    <w:family w:val="auto"/>
    <w:pitch w:val="default"/>
    <w:sig w:usb0="00000000" w:usb1="00000000" w:usb2="00000010" w:usb3="00000000" w:csb0="00040000" w:csb1="00000000"/>
  </w:font>
  <w:font w:name="创艺简">
    <w:altName w:val="宋体"/>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E291F46"/>
    <w:multiLevelType w:val="multilevel"/>
    <w:tmpl w:val="9E291F46"/>
    <w:lvl w:ilvl="0" w:tentative="0">
      <w:start w:val="1"/>
      <w:numFmt w:val="decimal"/>
      <w:pStyle w:val="2"/>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00000002"/>
    <w:multiLevelType w:val="singleLevel"/>
    <w:tmpl w:val="00000002"/>
    <w:lvl w:ilvl="0" w:tentative="0">
      <w:start w:val="1"/>
      <w:numFmt w:val="decimal"/>
      <w:suff w:val="nothing"/>
      <w:lvlText w:val="（%1）"/>
      <w:lvlJc w:val="left"/>
    </w:lvl>
  </w:abstractNum>
  <w:abstractNum w:abstractNumId="2">
    <w:nsid w:val="05304252"/>
    <w:multiLevelType w:val="multilevel"/>
    <w:tmpl w:val="0530425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77730AE"/>
    <w:multiLevelType w:val="multilevel"/>
    <w:tmpl w:val="277730AE"/>
    <w:lvl w:ilvl="0" w:tentative="0">
      <w:start w:val="1"/>
      <w:numFmt w:val="japaneseCounting"/>
      <w:lvlText w:val="（%1）"/>
      <w:lvlJc w:val="left"/>
      <w:pPr>
        <w:ind w:left="1720" w:hanging="108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2AABA639"/>
    <w:multiLevelType w:val="multilevel"/>
    <w:tmpl w:val="2AABA639"/>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5">
    <w:nsid w:val="400E6D83"/>
    <w:multiLevelType w:val="multilevel"/>
    <w:tmpl w:val="400E6D83"/>
    <w:lvl w:ilvl="0" w:tentative="0">
      <w:start w:val="1"/>
      <w:numFmt w:val="decimal"/>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6">
    <w:nsid w:val="53065676"/>
    <w:multiLevelType w:val="multilevel"/>
    <w:tmpl w:val="53065676"/>
    <w:lvl w:ilvl="0" w:tentative="0">
      <w:start w:val="1"/>
      <w:numFmt w:val="decimal"/>
      <w:lvlText w:val="%1."/>
      <w:lvlJc w:val="left"/>
      <w:pPr>
        <w:ind w:left="1000" w:hanging="36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7">
    <w:nsid w:val="58C0A40C"/>
    <w:multiLevelType w:val="multilevel"/>
    <w:tmpl w:val="58C0A40C"/>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num w:numId="1">
    <w:abstractNumId w:val="0"/>
  </w:num>
  <w:num w:numId="2">
    <w:abstractNumId w:val="5"/>
  </w:num>
  <w:num w:numId="3">
    <w:abstractNumId w:val="4"/>
  </w:num>
  <w:num w:numId="4">
    <w:abstractNumId w:val="7"/>
  </w:num>
  <w:num w:numId="5">
    <w:abstractNumId w:val="1"/>
  </w:num>
  <w:num w:numId="6">
    <w:abstractNumId w:val="3"/>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mirrorMargins w:val="1"/>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BE0D4D"/>
    <w:rsid w:val="107531E6"/>
    <w:rsid w:val="16A8262A"/>
    <w:rsid w:val="19940239"/>
    <w:rsid w:val="27AC2435"/>
    <w:rsid w:val="280D4874"/>
    <w:rsid w:val="2DA412D6"/>
    <w:rsid w:val="30A87930"/>
    <w:rsid w:val="348B3676"/>
    <w:rsid w:val="360454E7"/>
    <w:rsid w:val="3BBE0D4D"/>
    <w:rsid w:val="3D027066"/>
    <w:rsid w:val="454447EC"/>
    <w:rsid w:val="495B1867"/>
    <w:rsid w:val="49F1209C"/>
    <w:rsid w:val="4B043C08"/>
    <w:rsid w:val="4C2D10C3"/>
    <w:rsid w:val="4F112154"/>
    <w:rsid w:val="50657CA1"/>
    <w:rsid w:val="545C4B0A"/>
    <w:rsid w:val="5A4962C6"/>
    <w:rsid w:val="5AE855F4"/>
    <w:rsid w:val="61A5242D"/>
    <w:rsid w:val="63F350C6"/>
    <w:rsid w:val="65481936"/>
    <w:rsid w:val="6FD66852"/>
    <w:rsid w:val="765778E8"/>
    <w:rsid w:val="797E4F8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仿宋_GB2312" w:cs="Times New Roman"/>
      <w:kern w:val="2"/>
      <w:sz w:val="32"/>
      <w:lang w:val="en-US" w:eastAsia="zh-CN" w:bidi="ar-SA"/>
    </w:rPr>
  </w:style>
  <w:style w:type="paragraph" w:styleId="2">
    <w:name w:val="heading 1"/>
    <w:basedOn w:val="1"/>
    <w:next w:val="1"/>
    <w:link w:val="15"/>
    <w:qFormat/>
    <w:uiPriority w:val="0"/>
    <w:pPr>
      <w:numPr>
        <w:ilvl w:val="0"/>
        <w:numId w:val="1"/>
      </w:numPr>
      <w:spacing w:before="0" w:beforeAutospacing="1" w:after="0" w:afterAutospacing="1"/>
      <w:ind w:left="432" w:hanging="432" w:firstLineChars="0"/>
      <w:jc w:val="left"/>
      <w:outlineLvl w:val="0"/>
    </w:pPr>
    <w:rPr>
      <w:rFonts w:hint="eastAsia" w:ascii="Times New Roman" w:hAnsi="Times New Roman" w:eastAsia="黑体" w:cs="宋体"/>
      <w:kern w:val="44"/>
      <w:sz w:val="44"/>
      <w:szCs w:val="48"/>
      <w:lang w:bidi="ar"/>
    </w:rPr>
  </w:style>
  <w:style w:type="paragraph" w:styleId="3">
    <w:name w:val="heading 2"/>
    <w:basedOn w:val="1"/>
    <w:next w:val="1"/>
    <w:link w:val="18"/>
    <w:semiHidden/>
    <w:unhideWhenUsed/>
    <w:qFormat/>
    <w:uiPriority w:val="0"/>
    <w:pPr>
      <w:keepNext/>
      <w:keepLines/>
      <w:numPr>
        <w:ilvl w:val="1"/>
        <w:numId w:val="2"/>
      </w:numPr>
      <w:spacing w:before="260" w:after="260" w:line="240" w:lineRule="auto"/>
      <w:ind w:firstLine="0" w:firstLineChars="0"/>
      <w:outlineLvl w:val="1"/>
    </w:pPr>
    <w:rPr>
      <w:rFonts w:ascii="Times New Roman" w:hAnsi="Times New Roman" w:eastAsia="楷体" w:cs="Times New Roman"/>
      <w:b/>
      <w:sz w:val="32"/>
    </w:rPr>
  </w:style>
  <w:style w:type="paragraph" w:styleId="4">
    <w:name w:val="heading 3"/>
    <w:basedOn w:val="1"/>
    <w:next w:val="1"/>
    <w:link w:val="16"/>
    <w:semiHidden/>
    <w:unhideWhenUsed/>
    <w:qFormat/>
    <w:uiPriority w:val="0"/>
    <w:pPr>
      <w:keepNext/>
      <w:keepLines/>
      <w:numPr>
        <w:ilvl w:val="2"/>
        <w:numId w:val="3"/>
      </w:numPr>
      <w:spacing w:before="260" w:after="260"/>
      <w:ind w:left="720" w:hanging="720" w:firstLineChars="0"/>
      <w:outlineLvl w:val="2"/>
    </w:pPr>
    <w:rPr>
      <w:rFonts w:ascii="Times New Roman" w:hAnsi="Times New Roman" w:eastAsia="宋" w:cs="Times New Roman"/>
      <w:kern w:val="0"/>
      <w:sz w:val="32"/>
      <w:szCs w:val="20"/>
    </w:rPr>
  </w:style>
  <w:style w:type="paragraph" w:styleId="5">
    <w:name w:val="heading 4"/>
    <w:basedOn w:val="1"/>
    <w:next w:val="1"/>
    <w:semiHidden/>
    <w:unhideWhenUsed/>
    <w:qFormat/>
    <w:uiPriority w:val="0"/>
    <w:pPr>
      <w:keepNext/>
      <w:keepLines/>
      <w:numPr>
        <w:ilvl w:val="3"/>
        <w:numId w:val="4"/>
      </w:numPr>
      <w:spacing w:before="280" w:beforeLines="0" w:beforeAutospacing="0" w:after="290" w:afterLines="0" w:afterAutospacing="0" w:line="372" w:lineRule="auto"/>
      <w:ind w:left="0" w:firstLine="402" w:firstLineChars="0"/>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4"/>
      </w:numPr>
      <w:spacing w:before="280" w:beforeLines="0" w:beforeAutospacing="0" w:after="290" w:afterLines="0" w:afterAutospacing="0" w:line="372" w:lineRule="auto"/>
      <w:ind w:left="0" w:firstLine="402" w:firstLineChars="0"/>
      <w:outlineLvl w:val="4"/>
    </w:pPr>
    <w:rPr>
      <w:b/>
      <w:sz w:val="28"/>
    </w:rPr>
  </w:style>
  <w:style w:type="paragraph" w:styleId="7">
    <w:name w:val="heading 6"/>
    <w:basedOn w:val="1"/>
    <w:next w:val="1"/>
    <w:semiHidden/>
    <w:unhideWhenUsed/>
    <w:qFormat/>
    <w:uiPriority w:val="0"/>
    <w:pPr>
      <w:keepNext/>
      <w:keepLines/>
      <w:numPr>
        <w:ilvl w:val="5"/>
        <w:numId w:val="4"/>
      </w:numPr>
      <w:spacing w:before="240" w:beforeLines="0" w:beforeAutospacing="0" w:after="64" w:afterLines="0" w:afterAutospacing="0" w:line="317" w:lineRule="auto"/>
      <w:ind w:left="0" w:firstLine="402" w:firstLineChars="0"/>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4"/>
      </w:numPr>
      <w:spacing w:before="240" w:beforeLines="0" w:beforeAutospacing="0" w:after="64" w:afterLines="0" w:afterAutospacing="0" w:line="317" w:lineRule="auto"/>
      <w:ind w:left="0" w:firstLine="402" w:firstLineChars="0"/>
      <w:outlineLvl w:val="6"/>
    </w:pPr>
    <w:rPr>
      <w:b/>
      <w:sz w:val="24"/>
    </w:rPr>
  </w:style>
  <w:style w:type="paragraph" w:styleId="9">
    <w:name w:val="heading 8"/>
    <w:basedOn w:val="1"/>
    <w:next w:val="1"/>
    <w:semiHidden/>
    <w:unhideWhenUsed/>
    <w:qFormat/>
    <w:uiPriority w:val="0"/>
    <w:pPr>
      <w:keepNext/>
      <w:keepLines/>
      <w:numPr>
        <w:ilvl w:val="7"/>
        <w:numId w:val="4"/>
      </w:numPr>
      <w:spacing w:before="240" w:beforeLines="0" w:beforeAutospacing="0" w:after="64" w:afterLines="0" w:afterAutospacing="0" w:line="317" w:lineRule="auto"/>
      <w:ind w:left="0" w:firstLine="402" w:firstLineChars="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4"/>
      </w:numPr>
      <w:spacing w:before="240" w:beforeLines="0" w:beforeAutospacing="0" w:after="64" w:afterLines="0" w:afterAutospacing="0" w:line="317" w:lineRule="auto"/>
      <w:ind w:left="0" w:firstLine="402" w:firstLineChars="0"/>
      <w:outlineLvl w:val="8"/>
    </w:pPr>
    <w:rPr>
      <w:rFonts w:ascii="Arial" w:hAnsi="Arial" w:eastAsia="黑体"/>
      <w:sz w:val="21"/>
    </w:rPr>
  </w:style>
  <w:style w:type="character" w:default="1" w:styleId="13">
    <w:name w:val="Default Paragraph Font"/>
    <w:unhideWhenUsed/>
    <w:qFormat/>
    <w:uiPriority w:val="1"/>
  </w:style>
  <w:style w:type="table" w:default="1" w:styleId="14">
    <w:name w:val="Normal Table"/>
    <w:semiHidden/>
    <w:qFormat/>
    <w:uiPriority w:val="0"/>
    <w:tblPr>
      <w:tblLayout w:type="fixed"/>
      <w:tblCellMar>
        <w:top w:w="0" w:type="dxa"/>
        <w:left w:w="108" w:type="dxa"/>
        <w:bottom w:w="0" w:type="dxa"/>
        <w:right w:w="108" w:type="dxa"/>
      </w:tblCellMar>
    </w:tblPr>
  </w:style>
  <w:style w:type="paragraph" w:styleId="11">
    <w:name w:val="Normal (Web)"/>
    <w:basedOn w:val="1"/>
    <w:unhideWhenUsed/>
    <w:qFormat/>
    <w:uiPriority w:val="99"/>
    <w:pPr>
      <w:widowControl/>
      <w:spacing w:before="100" w:beforeAutospacing="1" w:after="100" w:afterAutospacing="1" w:line="240" w:lineRule="auto"/>
      <w:jc w:val="left"/>
    </w:pPr>
    <w:rPr>
      <w:rFonts w:ascii="宋体" w:hAnsi="宋体" w:eastAsia="宋体" w:cs="宋体"/>
      <w:kern w:val="0"/>
      <w:sz w:val="24"/>
      <w:szCs w:val="24"/>
    </w:rPr>
  </w:style>
  <w:style w:type="paragraph" w:styleId="12">
    <w:name w:val="Title"/>
    <w:basedOn w:val="1"/>
    <w:qFormat/>
    <w:uiPriority w:val="0"/>
    <w:pPr>
      <w:spacing w:before="240" w:beforeLines="0" w:beforeAutospacing="0" w:after="60" w:afterLines="0" w:afterAutospacing="0"/>
      <w:jc w:val="center"/>
      <w:outlineLvl w:val="0"/>
    </w:pPr>
    <w:rPr>
      <w:rFonts w:ascii="Arial" w:hAnsi="Arial"/>
      <w:b/>
      <w:sz w:val="32"/>
    </w:rPr>
  </w:style>
  <w:style w:type="character" w:customStyle="1" w:styleId="15">
    <w:name w:val="标题 1 Char"/>
    <w:link w:val="2"/>
    <w:qFormat/>
    <w:uiPriority w:val="0"/>
    <w:rPr>
      <w:rFonts w:hint="eastAsia" w:ascii="Times New Roman" w:hAnsi="Times New Roman" w:eastAsia="黑体" w:cs="宋体"/>
      <w:b/>
      <w:kern w:val="44"/>
      <w:sz w:val="44"/>
      <w:szCs w:val="48"/>
      <w:lang w:bidi="ar"/>
    </w:rPr>
  </w:style>
  <w:style w:type="character" w:customStyle="1" w:styleId="16">
    <w:name w:val="标题 3 Char"/>
    <w:basedOn w:val="13"/>
    <w:link w:val="4"/>
    <w:qFormat/>
    <w:uiPriority w:val="0"/>
    <w:rPr>
      <w:rFonts w:ascii="Times New Roman" w:hAnsi="Times New Roman" w:eastAsia="宋" w:cs="Times New Roman"/>
      <w:kern w:val="0"/>
      <w:sz w:val="32"/>
      <w:szCs w:val="20"/>
    </w:rPr>
  </w:style>
  <w:style w:type="paragraph" w:customStyle="1" w:styleId="17">
    <w:name w:val="题目"/>
    <w:basedOn w:val="12"/>
    <w:qFormat/>
    <w:uiPriority w:val="0"/>
    <w:rPr>
      <w:rFonts w:ascii="Times New Roman" w:hAnsi="Times New Roman" w:eastAsia="方正小标宋简体"/>
      <w:b w:val="0"/>
      <w:sz w:val="44"/>
      <w:szCs w:val="22"/>
    </w:rPr>
  </w:style>
  <w:style w:type="character" w:customStyle="1" w:styleId="18">
    <w:name w:val="标题 2 字符"/>
    <w:basedOn w:val="13"/>
    <w:link w:val="3"/>
    <w:qFormat/>
    <w:uiPriority w:val="9"/>
    <w:rPr>
      <w:rFonts w:ascii="Times New Roman" w:hAnsi="Times New Roman" w:eastAsia="楷体" w:cs="Times New Roman"/>
      <w:b/>
      <w:bCs/>
      <w:sz w:val="32"/>
      <w:szCs w:val="32"/>
    </w:rPr>
  </w:style>
  <w:style w:type="paragraph" w:styleId="1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Office_11.1.0.8013_F1E327BC-269C-435d-A152-05C5408002CA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2018-12-19T07:58:00Z</dcterms:created>
  <dc:creator>Soledad</dc:creator>
  <cp:lastModifiedBy>Soledad</cp:lastModifiedBy>
  <dcterms:modified xsi:type="dcterms:W3CDTF">2018-12-19T08:00:59Z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